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0"/>
        <w:gridCol w:w="2502"/>
        <w:gridCol w:w="3258"/>
      </w:tblGrid>
      <w:tr w:rsidR="005836C7" w:rsidRPr="00B87925" w14:paraId="7BA3B195" w14:textId="77777777">
        <w:trPr>
          <w:cantSplit/>
          <w:trHeight w:val="900"/>
        </w:trPr>
        <w:tc>
          <w:tcPr>
            <w:tcW w:w="3600" w:type="dxa"/>
            <w:tcBorders>
              <w:top w:val="nil"/>
              <w:left w:val="nil"/>
              <w:bottom w:val="thinThickSmallGap" w:sz="24" w:space="0" w:color="FF0000"/>
              <w:right w:val="nil"/>
            </w:tcBorders>
          </w:tcPr>
          <w:p w14:paraId="4EBC304D" w14:textId="77777777" w:rsidR="005836C7" w:rsidRPr="00B87925" w:rsidRDefault="005836C7">
            <w:pPr>
              <w:rPr>
                <w:rFonts w:ascii="Courier New" w:hAnsi="Courier New"/>
                <w:sz w:val="37"/>
              </w:rPr>
            </w:pPr>
          </w:p>
          <w:p w14:paraId="2495D10B" w14:textId="77777777" w:rsidR="005836C7" w:rsidRDefault="005836C7"/>
          <w:p w14:paraId="22814906" w14:textId="77777777" w:rsidR="005836C7" w:rsidRPr="00B87925" w:rsidRDefault="005836C7">
            <w:pPr>
              <w:pStyle w:val="Heading1"/>
              <w:jc w:val="center"/>
              <w:rPr>
                <w:color w:val="000080"/>
                <w:sz w:val="37"/>
              </w:rPr>
            </w:pPr>
            <w:r w:rsidRPr="00B87925">
              <w:rPr>
                <w:b w:val="0"/>
                <w:color w:val="000080"/>
                <w:sz w:val="52"/>
              </w:rPr>
              <w:t>B</w:t>
            </w:r>
            <w:r w:rsidRPr="00B87925">
              <w:rPr>
                <w:b w:val="0"/>
                <w:color w:val="000080"/>
                <w:sz w:val="32"/>
              </w:rPr>
              <w:t>UILDING</w:t>
            </w:r>
            <w:r w:rsidRPr="00B87925">
              <w:rPr>
                <w:color w:val="000080"/>
                <w:sz w:val="37"/>
              </w:rPr>
              <w:t xml:space="preserve"> </w:t>
            </w:r>
          </w:p>
        </w:tc>
        <w:tc>
          <w:tcPr>
            <w:tcW w:w="2502" w:type="dxa"/>
            <w:vMerge w:val="restart"/>
            <w:tcBorders>
              <w:top w:val="nil"/>
              <w:left w:val="nil"/>
              <w:bottom w:val="nil"/>
              <w:right w:val="nil"/>
            </w:tcBorders>
            <w:vAlign w:val="center"/>
          </w:tcPr>
          <w:p w14:paraId="54DB1D3B" w14:textId="77777777" w:rsidR="005836C7" w:rsidRPr="00B87925" w:rsidRDefault="00747254">
            <w:pPr>
              <w:jc w:val="center"/>
              <w:rPr>
                <w:sz w:val="18"/>
              </w:rPr>
            </w:pPr>
            <w:r>
              <w:rPr>
                <w:noProof/>
                <w:sz w:val="18"/>
              </w:rPr>
              <w:drawing>
                <wp:inline distT="0" distB="0" distL="0" distR="0" wp14:anchorId="02FC3EA5" wp14:editId="21FBE735">
                  <wp:extent cx="1489710" cy="914400"/>
                  <wp:effectExtent l="19050" t="0" r="0" b="0"/>
                  <wp:docPr id="3" name="Picture 3" descr="COO Logo_No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 Logo_No Department"/>
                          <pic:cNvPicPr>
                            <a:picLocks noChangeAspect="1" noChangeArrowheads="1"/>
                          </pic:cNvPicPr>
                        </pic:nvPicPr>
                        <pic:blipFill>
                          <a:blip r:embed="rId7" cstate="print"/>
                          <a:srcRect/>
                          <a:stretch>
                            <a:fillRect/>
                          </a:stretch>
                        </pic:blipFill>
                        <pic:spPr bwMode="auto">
                          <a:xfrm>
                            <a:off x="0" y="0"/>
                            <a:ext cx="1489710" cy="914400"/>
                          </a:xfrm>
                          <a:prstGeom prst="rect">
                            <a:avLst/>
                          </a:prstGeom>
                          <a:noFill/>
                          <a:ln w="9525">
                            <a:noFill/>
                            <a:miter lim="800000"/>
                            <a:headEnd/>
                            <a:tailEnd/>
                          </a:ln>
                        </pic:spPr>
                      </pic:pic>
                    </a:graphicData>
                  </a:graphic>
                </wp:inline>
              </w:drawing>
            </w:r>
          </w:p>
        </w:tc>
        <w:tc>
          <w:tcPr>
            <w:tcW w:w="3258" w:type="dxa"/>
            <w:tcBorders>
              <w:top w:val="nil"/>
              <w:left w:val="nil"/>
              <w:bottom w:val="thinThickSmallGap" w:sz="24" w:space="0" w:color="FF0000"/>
              <w:right w:val="nil"/>
            </w:tcBorders>
          </w:tcPr>
          <w:p w14:paraId="74FD4728" w14:textId="77777777" w:rsidR="005836C7" w:rsidRPr="00B87925" w:rsidRDefault="005836C7">
            <w:pPr>
              <w:pStyle w:val="Heading2"/>
              <w:jc w:val="center"/>
              <w:rPr>
                <w:rFonts w:ascii="Courier New" w:hAnsi="Courier New"/>
                <w:b/>
                <w:sz w:val="37"/>
              </w:rPr>
            </w:pPr>
          </w:p>
          <w:p w14:paraId="339FCADC" w14:textId="77777777" w:rsidR="005836C7" w:rsidRPr="00B87925" w:rsidRDefault="005836C7"/>
          <w:p w14:paraId="1436212F" w14:textId="77777777" w:rsidR="005836C7" w:rsidRPr="00B87925" w:rsidRDefault="005836C7">
            <w:pPr>
              <w:pStyle w:val="Heading2"/>
              <w:jc w:val="center"/>
              <w:rPr>
                <w:color w:val="000080"/>
                <w:sz w:val="36"/>
              </w:rPr>
            </w:pPr>
            <w:r w:rsidRPr="00B87925">
              <w:rPr>
                <w:color w:val="000080"/>
                <w:sz w:val="52"/>
              </w:rPr>
              <w:t>D</w:t>
            </w:r>
            <w:r w:rsidRPr="00B87925">
              <w:rPr>
                <w:color w:val="000080"/>
              </w:rPr>
              <w:t>EPARTMENT</w:t>
            </w:r>
          </w:p>
        </w:tc>
      </w:tr>
      <w:tr w:rsidR="005836C7" w:rsidRPr="00B87925" w14:paraId="284CEBD8" w14:textId="77777777">
        <w:trPr>
          <w:cantSplit/>
          <w:trHeight w:val="468"/>
        </w:trPr>
        <w:tc>
          <w:tcPr>
            <w:tcW w:w="3600" w:type="dxa"/>
            <w:tcBorders>
              <w:top w:val="nil"/>
              <w:left w:val="nil"/>
              <w:bottom w:val="nil"/>
              <w:right w:val="nil"/>
            </w:tcBorders>
          </w:tcPr>
          <w:p w14:paraId="51E09318" w14:textId="77777777" w:rsidR="005836C7" w:rsidRPr="00B87925" w:rsidRDefault="005836C7">
            <w:pPr>
              <w:rPr>
                <w:color w:val="000080"/>
                <w:sz w:val="16"/>
              </w:rPr>
            </w:pPr>
          </w:p>
          <w:p w14:paraId="2F77E433" w14:textId="77777777" w:rsidR="005836C7" w:rsidRPr="00B87925" w:rsidRDefault="005836C7">
            <w:pPr>
              <w:jc w:val="center"/>
              <w:rPr>
                <w:color w:val="000080"/>
                <w:sz w:val="16"/>
              </w:rPr>
            </w:pPr>
            <w:smartTag w:uri="urn:schemas-microsoft-com:office:smarttags" w:element="Street">
              <w:smartTag w:uri="urn:schemas-microsoft-com:office:smarttags" w:element="address">
                <w:r w:rsidRPr="00B87925">
                  <w:rPr>
                    <w:color w:val="000080"/>
                    <w:sz w:val="16"/>
                  </w:rPr>
                  <w:t>303 East B Street</w:t>
                </w:r>
              </w:smartTag>
            </w:smartTag>
            <w:r w:rsidRPr="00B87925">
              <w:rPr>
                <w:color w:val="000080"/>
                <w:sz w:val="16"/>
              </w:rPr>
              <w:t xml:space="preserve">, Civic Center, </w:t>
            </w:r>
            <w:smartTag w:uri="urn:schemas-microsoft-com:office:smarttags" w:element="place">
              <w:smartTag w:uri="urn:schemas-microsoft-com:office:smarttags" w:element="City">
                <w:r w:rsidRPr="00B87925">
                  <w:rPr>
                    <w:color w:val="000080"/>
                    <w:sz w:val="16"/>
                  </w:rPr>
                  <w:t>Ontario</w:t>
                </w:r>
              </w:smartTag>
              <w:r w:rsidRPr="00B87925">
                <w:rPr>
                  <w:color w:val="000080"/>
                  <w:sz w:val="16"/>
                </w:rPr>
                <w:t xml:space="preserve">, </w:t>
              </w:r>
              <w:smartTag w:uri="urn:schemas-microsoft-com:office:smarttags" w:element="State">
                <w:r w:rsidRPr="00B87925">
                  <w:rPr>
                    <w:color w:val="000080"/>
                    <w:sz w:val="16"/>
                  </w:rPr>
                  <w:t>CA</w:t>
                </w:r>
              </w:smartTag>
              <w:r w:rsidRPr="00B87925">
                <w:rPr>
                  <w:color w:val="000080"/>
                  <w:sz w:val="16"/>
                </w:rPr>
                <w:t xml:space="preserve">  </w:t>
              </w:r>
              <w:smartTag w:uri="urn:schemas-microsoft-com:office:smarttags" w:element="PostalCode">
                <w:r w:rsidRPr="00B87925">
                  <w:rPr>
                    <w:color w:val="000080"/>
                    <w:sz w:val="16"/>
                  </w:rPr>
                  <w:t>91764</w:t>
                </w:r>
              </w:smartTag>
            </w:smartTag>
          </w:p>
        </w:tc>
        <w:tc>
          <w:tcPr>
            <w:tcW w:w="2502" w:type="dxa"/>
            <w:vMerge/>
            <w:tcBorders>
              <w:top w:val="nil"/>
              <w:left w:val="nil"/>
              <w:bottom w:val="nil"/>
              <w:right w:val="nil"/>
            </w:tcBorders>
            <w:vAlign w:val="center"/>
          </w:tcPr>
          <w:p w14:paraId="257A4242" w14:textId="77777777" w:rsidR="005836C7" w:rsidRPr="00B87925" w:rsidRDefault="005836C7">
            <w:pPr>
              <w:rPr>
                <w:sz w:val="18"/>
              </w:rPr>
            </w:pPr>
          </w:p>
        </w:tc>
        <w:tc>
          <w:tcPr>
            <w:tcW w:w="3258" w:type="dxa"/>
            <w:tcBorders>
              <w:top w:val="nil"/>
              <w:left w:val="nil"/>
              <w:bottom w:val="nil"/>
              <w:right w:val="nil"/>
            </w:tcBorders>
          </w:tcPr>
          <w:p w14:paraId="5E4CADA0" w14:textId="77777777" w:rsidR="005836C7" w:rsidRPr="00B87925" w:rsidRDefault="005836C7">
            <w:pPr>
              <w:jc w:val="center"/>
              <w:rPr>
                <w:color w:val="000080"/>
                <w:sz w:val="16"/>
              </w:rPr>
            </w:pPr>
          </w:p>
          <w:p w14:paraId="3EADB030" w14:textId="77777777" w:rsidR="005836C7" w:rsidRPr="00B87925" w:rsidRDefault="005836C7">
            <w:pPr>
              <w:jc w:val="center"/>
              <w:rPr>
                <w:color w:val="000080"/>
                <w:sz w:val="16"/>
              </w:rPr>
            </w:pPr>
            <w:r w:rsidRPr="00B87925">
              <w:rPr>
                <w:color w:val="000080"/>
                <w:sz w:val="16"/>
              </w:rPr>
              <w:t>Phone (909)395-2023, Fax (909)395-2180</w:t>
            </w:r>
          </w:p>
        </w:tc>
      </w:tr>
    </w:tbl>
    <w:p w14:paraId="2A007F1C" w14:textId="77777777" w:rsidR="00A020A8" w:rsidRDefault="00A020A8" w:rsidP="005836C7">
      <w:pPr>
        <w:rPr>
          <w:sz w:val="18"/>
        </w:rPr>
      </w:pPr>
    </w:p>
    <w:p w14:paraId="70190D24" w14:textId="77777777" w:rsidR="005836C7" w:rsidRPr="00B87925" w:rsidRDefault="005836C7" w:rsidP="005836C7">
      <w:pPr>
        <w:rPr>
          <w:sz w:val="18"/>
        </w:rPr>
      </w:pPr>
      <w:r w:rsidRPr="00B87925">
        <w:rPr>
          <w:sz w:val="18"/>
        </w:rPr>
        <w:t xml:space="preserve">                                                                                                   </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2941"/>
        <w:gridCol w:w="21"/>
        <w:gridCol w:w="1721"/>
        <w:gridCol w:w="4671"/>
      </w:tblGrid>
      <w:tr w:rsidR="00E70AC4" w:rsidRPr="008C0A5C" w14:paraId="4426A2C0" w14:textId="77777777">
        <w:trPr>
          <w:gridBefore w:val="1"/>
          <w:wBefore w:w="6" w:type="dxa"/>
        </w:trPr>
        <w:tc>
          <w:tcPr>
            <w:tcW w:w="9354" w:type="dxa"/>
            <w:gridSpan w:val="4"/>
          </w:tcPr>
          <w:p w14:paraId="0C1A1238" w14:textId="2AB6F9C2" w:rsidR="00D87344" w:rsidRPr="008C0A5C" w:rsidRDefault="00DD590C" w:rsidP="0014547A">
            <w:pPr>
              <w:jc w:val="center"/>
              <w:rPr>
                <w:b/>
                <w:sz w:val="24"/>
              </w:rPr>
            </w:pPr>
            <w:r w:rsidRPr="008C0A5C">
              <w:rPr>
                <w:b/>
                <w:sz w:val="24"/>
              </w:rPr>
              <w:t>20</w:t>
            </w:r>
            <w:r w:rsidR="00C8183E">
              <w:rPr>
                <w:b/>
                <w:sz w:val="24"/>
              </w:rPr>
              <w:t>22</w:t>
            </w:r>
            <w:r w:rsidR="00674FBE" w:rsidRPr="008C0A5C">
              <w:rPr>
                <w:b/>
                <w:sz w:val="24"/>
              </w:rPr>
              <w:t xml:space="preserve"> </w:t>
            </w:r>
            <w:r w:rsidR="00674FBE" w:rsidRPr="008C0A5C">
              <w:rPr>
                <w:rFonts w:ascii="Pristina" w:hAnsi="Pristina" w:cs="Kalinga"/>
                <w:b/>
                <w:i/>
                <w:sz w:val="24"/>
              </w:rPr>
              <w:t>CAL</w:t>
            </w:r>
            <w:r w:rsidR="00674FBE" w:rsidRPr="008C0A5C">
              <w:rPr>
                <w:b/>
                <w:i/>
                <w:sz w:val="24"/>
              </w:rPr>
              <w:t>GREEN</w:t>
            </w:r>
            <w:r w:rsidR="00674FBE" w:rsidRPr="008C0A5C">
              <w:rPr>
                <w:b/>
                <w:sz w:val="24"/>
              </w:rPr>
              <w:t xml:space="preserve"> </w:t>
            </w:r>
            <w:r w:rsidR="00AF3FBE" w:rsidRPr="008C0A5C">
              <w:rPr>
                <w:b/>
                <w:sz w:val="24"/>
              </w:rPr>
              <w:t xml:space="preserve">RESIDENTIAL </w:t>
            </w:r>
            <w:r w:rsidR="001C0101" w:rsidRPr="008C0A5C">
              <w:rPr>
                <w:b/>
                <w:sz w:val="24"/>
              </w:rPr>
              <w:t>CORRECTION LIST</w:t>
            </w:r>
            <w:r w:rsidR="0024031D" w:rsidRPr="008C0A5C">
              <w:rPr>
                <w:b/>
                <w:sz w:val="24"/>
              </w:rPr>
              <w:t xml:space="preserve"> </w:t>
            </w:r>
          </w:p>
          <w:p w14:paraId="5F39B6CC" w14:textId="38EE6A02" w:rsidR="00E70AC4" w:rsidRPr="008C0A5C" w:rsidRDefault="00EC3FE3" w:rsidP="00DD590C">
            <w:pPr>
              <w:jc w:val="center"/>
              <w:rPr>
                <w:b/>
                <w:sz w:val="24"/>
              </w:rPr>
            </w:pPr>
            <w:r w:rsidRPr="006535B1">
              <w:rPr>
                <w:b/>
                <w:color w:val="FF0000"/>
                <w:sz w:val="24"/>
              </w:rPr>
              <w:t>(</w:t>
            </w:r>
            <w:r w:rsidR="002B7267" w:rsidRPr="006535B1">
              <w:rPr>
                <w:b/>
                <w:color w:val="FF0000"/>
                <w:sz w:val="24"/>
              </w:rPr>
              <w:t xml:space="preserve">with </w:t>
            </w:r>
            <w:r w:rsidR="002B7267" w:rsidRPr="002B7267">
              <w:rPr>
                <w:b/>
                <w:color w:val="FF0000"/>
                <w:sz w:val="24"/>
              </w:rPr>
              <w:t>supplement</w:t>
            </w:r>
            <w:r w:rsidR="002B7267">
              <w:rPr>
                <w:b/>
                <w:sz w:val="24"/>
              </w:rPr>
              <w:t xml:space="preserve"> </w:t>
            </w:r>
            <w:r w:rsidR="002B7267" w:rsidRPr="006535B1">
              <w:rPr>
                <w:b/>
                <w:color w:val="FF0000"/>
                <w:sz w:val="24"/>
              </w:rPr>
              <w:t>e</w:t>
            </w:r>
            <w:r w:rsidR="00B040DA" w:rsidRPr="006535B1">
              <w:rPr>
                <w:b/>
                <w:color w:val="FF0000"/>
                <w:sz w:val="24"/>
              </w:rPr>
              <w:t>ffective J</w:t>
            </w:r>
            <w:r w:rsidR="002B7267" w:rsidRPr="006535B1">
              <w:rPr>
                <w:b/>
                <w:color w:val="FF0000"/>
                <w:sz w:val="24"/>
              </w:rPr>
              <w:t>ul</w:t>
            </w:r>
            <w:r w:rsidR="008320D6" w:rsidRPr="006535B1">
              <w:rPr>
                <w:b/>
                <w:color w:val="FF0000"/>
                <w:sz w:val="24"/>
              </w:rPr>
              <w:t>y</w:t>
            </w:r>
            <w:r w:rsidR="00B040DA" w:rsidRPr="006535B1">
              <w:rPr>
                <w:b/>
                <w:color w:val="FF0000"/>
                <w:sz w:val="24"/>
              </w:rPr>
              <w:t xml:space="preserve"> 1, 202</w:t>
            </w:r>
            <w:r w:rsidR="002B7267" w:rsidRPr="006535B1">
              <w:rPr>
                <w:b/>
                <w:color w:val="FF0000"/>
                <w:sz w:val="24"/>
              </w:rPr>
              <w:t>4</w:t>
            </w:r>
            <w:r w:rsidR="00D21D28" w:rsidRPr="006535B1">
              <w:rPr>
                <w:b/>
                <w:color w:val="FF0000"/>
                <w:sz w:val="24"/>
              </w:rPr>
              <w:t>)</w:t>
            </w:r>
          </w:p>
        </w:tc>
      </w:tr>
      <w:tr w:rsidR="005836C7" w:rsidRPr="008C0A5C" w14:paraId="21A87877" w14:textId="77777777" w:rsidTr="00DD590C">
        <w:trPr>
          <w:gridBefore w:val="1"/>
          <w:wBefore w:w="6" w:type="dxa"/>
        </w:trPr>
        <w:tc>
          <w:tcPr>
            <w:tcW w:w="4683" w:type="dxa"/>
            <w:gridSpan w:val="3"/>
            <w:tcBorders>
              <w:top w:val="nil"/>
              <w:left w:val="nil"/>
              <w:bottom w:val="single" w:sz="4" w:space="0" w:color="auto"/>
              <w:right w:val="nil"/>
            </w:tcBorders>
          </w:tcPr>
          <w:p w14:paraId="193E7625" w14:textId="77777777" w:rsidR="005836C7" w:rsidRPr="008C0A5C" w:rsidRDefault="005836C7" w:rsidP="0014547A">
            <w:pPr>
              <w:jc w:val="both"/>
              <w:rPr>
                <w:sz w:val="24"/>
              </w:rPr>
            </w:pPr>
          </w:p>
        </w:tc>
        <w:tc>
          <w:tcPr>
            <w:tcW w:w="4671" w:type="dxa"/>
            <w:tcBorders>
              <w:top w:val="nil"/>
              <w:left w:val="nil"/>
              <w:bottom w:val="single" w:sz="4" w:space="0" w:color="auto"/>
              <w:right w:val="nil"/>
            </w:tcBorders>
          </w:tcPr>
          <w:p w14:paraId="0C472D7B" w14:textId="77777777" w:rsidR="005836C7" w:rsidRPr="008C0A5C" w:rsidRDefault="005836C7" w:rsidP="0014547A">
            <w:pPr>
              <w:jc w:val="both"/>
              <w:rPr>
                <w:sz w:val="24"/>
              </w:rPr>
            </w:pPr>
          </w:p>
        </w:tc>
      </w:tr>
      <w:tr w:rsidR="008E3951" w:rsidRPr="008C0A5C" w14:paraId="477010E3" w14:textId="77777777" w:rsidTr="00B10BB9">
        <w:trPr>
          <w:gridBefore w:val="1"/>
          <w:wBefore w:w="6" w:type="dxa"/>
        </w:trPr>
        <w:tc>
          <w:tcPr>
            <w:tcW w:w="2962" w:type="dxa"/>
            <w:gridSpan w:val="2"/>
            <w:tcBorders>
              <w:top w:val="single" w:sz="4" w:space="0" w:color="auto"/>
            </w:tcBorders>
          </w:tcPr>
          <w:p w14:paraId="57222A39" w14:textId="77777777" w:rsidR="008E3951" w:rsidRPr="008C0A5C" w:rsidRDefault="0054062C" w:rsidP="0014547A">
            <w:pPr>
              <w:jc w:val="both"/>
              <w:rPr>
                <w:b/>
                <w:sz w:val="18"/>
                <w:szCs w:val="18"/>
              </w:rPr>
            </w:pPr>
            <w:r w:rsidRPr="008C0A5C">
              <w:rPr>
                <w:b/>
                <w:sz w:val="18"/>
                <w:szCs w:val="18"/>
              </w:rPr>
              <w:t xml:space="preserve">Plan Check No.  </w:t>
            </w:r>
          </w:p>
        </w:tc>
        <w:tc>
          <w:tcPr>
            <w:tcW w:w="1721" w:type="dxa"/>
            <w:tcBorders>
              <w:top w:val="single" w:sz="4" w:space="0" w:color="auto"/>
            </w:tcBorders>
            <w:shd w:val="clear" w:color="auto" w:fill="FFFF00"/>
          </w:tcPr>
          <w:p w14:paraId="54BAA100" w14:textId="77777777" w:rsidR="008E3951" w:rsidRPr="00B10BB9" w:rsidRDefault="008E3951" w:rsidP="0014547A">
            <w:pPr>
              <w:jc w:val="both"/>
              <w:rPr>
                <w:b/>
                <w:sz w:val="18"/>
                <w:szCs w:val="18"/>
              </w:rPr>
            </w:pPr>
            <w:r w:rsidRPr="00B10BB9">
              <w:rPr>
                <w:b/>
                <w:sz w:val="18"/>
                <w:szCs w:val="18"/>
              </w:rPr>
              <w:t>Review No</w:t>
            </w:r>
            <w:r w:rsidR="00067F83" w:rsidRPr="00B10BB9">
              <w:rPr>
                <w:b/>
                <w:sz w:val="18"/>
                <w:szCs w:val="18"/>
              </w:rPr>
              <w:t>:</w:t>
            </w:r>
            <w:r w:rsidRPr="00B10BB9">
              <w:rPr>
                <w:b/>
                <w:sz w:val="18"/>
                <w:szCs w:val="18"/>
              </w:rPr>
              <w:t xml:space="preserve">   </w:t>
            </w:r>
          </w:p>
        </w:tc>
        <w:tc>
          <w:tcPr>
            <w:tcW w:w="4671" w:type="dxa"/>
            <w:tcBorders>
              <w:top w:val="single" w:sz="4" w:space="0" w:color="auto"/>
            </w:tcBorders>
          </w:tcPr>
          <w:p w14:paraId="16BF641B" w14:textId="77777777" w:rsidR="008E3951" w:rsidRPr="008C0A5C" w:rsidRDefault="008E3951" w:rsidP="0014547A">
            <w:pPr>
              <w:jc w:val="both"/>
              <w:rPr>
                <w:b/>
                <w:sz w:val="18"/>
                <w:szCs w:val="18"/>
              </w:rPr>
            </w:pPr>
            <w:r w:rsidRPr="008C0A5C">
              <w:rPr>
                <w:b/>
                <w:sz w:val="18"/>
                <w:szCs w:val="18"/>
              </w:rPr>
              <w:t>Plan Check Expiration Date:  1 year from submittal</w:t>
            </w:r>
          </w:p>
        </w:tc>
      </w:tr>
      <w:tr w:rsidR="00805BAB" w:rsidRPr="008C0A5C" w14:paraId="320F9D8A" w14:textId="77777777" w:rsidTr="00DD590C">
        <w:trPr>
          <w:gridBefore w:val="1"/>
          <w:wBefore w:w="6" w:type="dxa"/>
        </w:trPr>
        <w:tc>
          <w:tcPr>
            <w:tcW w:w="4683" w:type="dxa"/>
            <w:gridSpan w:val="3"/>
          </w:tcPr>
          <w:p w14:paraId="3144AD55" w14:textId="77777777" w:rsidR="00805BAB" w:rsidRPr="008C0A5C" w:rsidRDefault="00D21D28" w:rsidP="0014547A">
            <w:pPr>
              <w:jc w:val="both"/>
              <w:rPr>
                <w:sz w:val="18"/>
                <w:szCs w:val="18"/>
              </w:rPr>
            </w:pPr>
            <w:r w:rsidRPr="008C0A5C">
              <w:rPr>
                <w:sz w:val="18"/>
                <w:szCs w:val="18"/>
              </w:rPr>
              <w:t>Site</w:t>
            </w:r>
            <w:r w:rsidR="00805BAB" w:rsidRPr="008C0A5C">
              <w:rPr>
                <w:sz w:val="18"/>
                <w:szCs w:val="18"/>
              </w:rPr>
              <w:t xml:space="preserve"> Address:</w:t>
            </w:r>
          </w:p>
        </w:tc>
        <w:tc>
          <w:tcPr>
            <w:tcW w:w="4671" w:type="dxa"/>
          </w:tcPr>
          <w:p w14:paraId="32BA59B1" w14:textId="77777777" w:rsidR="00805BAB" w:rsidRPr="008C0A5C" w:rsidRDefault="00067F83" w:rsidP="0014547A">
            <w:pPr>
              <w:jc w:val="both"/>
              <w:rPr>
                <w:sz w:val="18"/>
                <w:szCs w:val="18"/>
              </w:rPr>
            </w:pPr>
            <w:r w:rsidRPr="008C0A5C">
              <w:rPr>
                <w:sz w:val="18"/>
                <w:szCs w:val="18"/>
              </w:rPr>
              <w:t>Number of Story:</w:t>
            </w:r>
          </w:p>
        </w:tc>
      </w:tr>
      <w:tr w:rsidR="006A7C3F" w:rsidRPr="008C0A5C" w14:paraId="03C53570" w14:textId="77777777" w:rsidTr="00DD590C">
        <w:trPr>
          <w:gridBefore w:val="1"/>
          <w:wBefore w:w="6" w:type="dxa"/>
        </w:trPr>
        <w:tc>
          <w:tcPr>
            <w:tcW w:w="4683" w:type="dxa"/>
            <w:gridSpan w:val="3"/>
          </w:tcPr>
          <w:p w14:paraId="1C1B807D" w14:textId="77777777" w:rsidR="006A7C3F" w:rsidRPr="008C0A5C" w:rsidRDefault="00067F83" w:rsidP="0014547A">
            <w:pPr>
              <w:jc w:val="both"/>
              <w:rPr>
                <w:sz w:val="18"/>
                <w:szCs w:val="18"/>
              </w:rPr>
            </w:pPr>
            <w:r w:rsidRPr="008C0A5C">
              <w:rPr>
                <w:sz w:val="18"/>
                <w:szCs w:val="18"/>
              </w:rPr>
              <w:t>Project Description:</w:t>
            </w:r>
          </w:p>
        </w:tc>
        <w:tc>
          <w:tcPr>
            <w:tcW w:w="4671" w:type="dxa"/>
          </w:tcPr>
          <w:p w14:paraId="661D0E94" w14:textId="77777777" w:rsidR="006A7C3F" w:rsidRPr="008C0A5C" w:rsidRDefault="00067F83" w:rsidP="0014547A">
            <w:pPr>
              <w:jc w:val="both"/>
              <w:rPr>
                <w:sz w:val="18"/>
                <w:szCs w:val="18"/>
              </w:rPr>
            </w:pPr>
            <w:r w:rsidRPr="008C0A5C">
              <w:rPr>
                <w:sz w:val="18"/>
                <w:szCs w:val="18"/>
              </w:rPr>
              <w:t>Area</w:t>
            </w:r>
            <w:r w:rsidR="00736B9A" w:rsidRPr="008C0A5C">
              <w:rPr>
                <w:sz w:val="18"/>
                <w:szCs w:val="18"/>
              </w:rPr>
              <w:t xml:space="preserve"> square feet</w:t>
            </w:r>
            <w:r w:rsidRPr="008C0A5C">
              <w:rPr>
                <w:sz w:val="18"/>
                <w:szCs w:val="18"/>
              </w:rPr>
              <w:t>:</w:t>
            </w:r>
          </w:p>
        </w:tc>
      </w:tr>
      <w:tr w:rsidR="006A7C3F" w:rsidRPr="008C0A5C" w14:paraId="2BB4881C" w14:textId="77777777" w:rsidTr="00DD590C">
        <w:trPr>
          <w:gridBefore w:val="1"/>
          <w:wBefore w:w="6" w:type="dxa"/>
        </w:trPr>
        <w:tc>
          <w:tcPr>
            <w:tcW w:w="4683" w:type="dxa"/>
            <w:gridSpan w:val="3"/>
            <w:tcBorders>
              <w:bottom w:val="single" w:sz="4" w:space="0" w:color="000000"/>
            </w:tcBorders>
          </w:tcPr>
          <w:p w14:paraId="3F9FABDB" w14:textId="77777777" w:rsidR="006A7C3F" w:rsidRPr="008C0A5C" w:rsidRDefault="00067F83" w:rsidP="0014547A">
            <w:pPr>
              <w:jc w:val="both"/>
              <w:rPr>
                <w:sz w:val="18"/>
                <w:szCs w:val="18"/>
              </w:rPr>
            </w:pPr>
            <w:r w:rsidRPr="008C0A5C">
              <w:rPr>
                <w:sz w:val="18"/>
                <w:szCs w:val="18"/>
              </w:rPr>
              <w:t>Type of Occupancy:</w:t>
            </w:r>
          </w:p>
        </w:tc>
        <w:tc>
          <w:tcPr>
            <w:tcW w:w="4671" w:type="dxa"/>
            <w:tcBorders>
              <w:bottom w:val="single" w:sz="4" w:space="0" w:color="000000"/>
            </w:tcBorders>
          </w:tcPr>
          <w:p w14:paraId="6B90C3CD" w14:textId="77777777" w:rsidR="006A7C3F" w:rsidRPr="008C0A5C" w:rsidRDefault="00CA16BF" w:rsidP="0014547A">
            <w:pPr>
              <w:jc w:val="both"/>
              <w:rPr>
                <w:sz w:val="18"/>
                <w:szCs w:val="18"/>
              </w:rPr>
            </w:pPr>
            <w:r w:rsidRPr="008C0A5C">
              <w:rPr>
                <w:sz w:val="18"/>
                <w:szCs w:val="18"/>
              </w:rPr>
              <w:t xml:space="preserve"> </w:t>
            </w:r>
          </w:p>
        </w:tc>
      </w:tr>
      <w:tr w:rsidR="00DD590C" w:rsidRPr="008C0A5C" w14:paraId="61CFDE12" w14:textId="77777777" w:rsidTr="00DD590C">
        <w:trPr>
          <w:gridBefore w:val="1"/>
          <w:wBefore w:w="6" w:type="dxa"/>
        </w:trPr>
        <w:tc>
          <w:tcPr>
            <w:tcW w:w="2941" w:type="dxa"/>
            <w:tcBorders>
              <w:bottom w:val="single" w:sz="4" w:space="0" w:color="auto"/>
            </w:tcBorders>
          </w:tcPr>
          <w:p w14:paraId="47D65EBB" w14:textId="77777777" w:rsidR="00DD590C" w:rsidRPr="008C0A5C" w:rsidRDefault="00DD590C" w:rsidP="0014547A">
            <w:pPr>
              <w:jc w:val="both"/>
              <w:rPr>
                <w:sz w:val="18"/>
                <w:szCs w:val="18"/>
              </w:rPr>
            </w:pPr>
            <w:r w:rsidRPr="008C0A5C">
              <w:rPr>
                <w:sz w:val="18"/>
                <w:szCs w:val="18"/>
              </w:rPr>
              <w:t>Type of Construction:</w:t>
            </w:r>
          </w:p>
        </w:tc>
        <w:tc>
          <w:tcPr>
            <w:tcW w:w="1742" w:type="dxa"/>
            <w:gridSpan w:val="2"/>
            <w:tcBorders>
              <w:bottom w:val="single" w:sz="4" w:space="0" w:color="auto"/>
            </w:tcBorders>
          </w:tcPr>
          <w:p w14:paraId="05FD0D7E" w14:textId="77777777" w:rsidR="00DD590C" w:rsidRPr="008C0A5C" w:rsidRDefault="00DD590C" w:rsidP="0014547A">
            <w:pPr>
              <w:jc w:val="both"/>
              <w:rPr>
                <w:sz w:val="18"/>
                <w:szCs w:val="18"/>
              </w:rPr>
            </w:pPr>
            <w:r w:rsidRPr="008C0A5C">
              <w:rPr>
                <w:sz w:val="18"/>
                <w:szCs w:val="18"/>
              </w:rPr>
              <w:t xml:space="preserve">Sprinklered:   </w:t>
            </w:r>
          </w:p>
        </w:tc>
        <w:tc>
          <w:tcPr>
            <w:tcW w:w="4671" w:type="dxa"/>
            <w:tcBorders>
              <w:bottom w:val="single" w:sz="4" w:space="0" w:color="auto"/>
            </w:tcBorders>
          </w:tcPr>
          <w:p w14:paraId="57FB6148" w14:textId="77777777" w:rsidR="00DD590C" w:rsidRPr="008C0A5C" w:rsidRDefault="00DD590C" w:rsidP="0014547A">
            <w:pPr>
              <w:jc w:val="both"/>
              <w:rPr>
                <w:sz w:val="18"/>
                <w:szCs w:val="18"/>
              </w:rPr>
            </w:pPr>
            <w:r w:rsidRPr="008C0A5C">
              <w:rPr>
                <w:sz w:val="18"/>
                <w:szCs w:val="18"/>
              </w:rPr>
              <w:t xml:space="preserve">Part 150 area: </w:t>
            </w:r>
            <w:r w:rsidR="00335AD6">
              <w:rPr>
                <w:sz w:val="18"/>
                <w:szCs w:val="18"/>
              </w:rPr>
              <w:t>YES / NO</w:t>
            </w:r>
          </w:p>
        </w:tc>
      </w:tr>
      <w:tr w:rsidR="006A7C3F" w:rsidRPr="008C0A5C" w14:paraId="0C90A0D3" w14:textId="77777777" w:rsidTr="00DD590C">
        <w:trPr>
          <w:gridBefore w:val="1"/>
          <w:wBefore w:w="6" w:type="dxa"/>
        </w:trPr>
        <w:tc>
          <w:tcPr>
            <w:tcW w:w="4683" w:type="dxa"/>
            <w:gridSpan w:val="3"/>
            <w:tcBorders>
              <w:top w:val="single" w:sz="4" w:space="0" w:color="auto"/>
              <w:left w:val="nil"/>
              <w:bottom w:val="single" w:sz="4" w:space="0" w:color="auto"/>
              <w:right w:val="nil"/>
            </w:tcBorders>
          </w:tcPr>
          <w:p w14:paraId="7E874D59" w14:textId="77777777" w:rsidR="00D21D28" w:rsidRPr="008C0A5C" w:rsidRDefault="00D21D28" w:rsidP="0014547A">
            <w:pPr>
              <w:jc w:val="both"/>
              <w:rPr>
                <w:sz w:val="18"/>
                <w:szCs w:val="18"/>
              </w:rPr>
            </w:pPr>
          </w:p>
        </w:tc>
        <w:tc>
          <w:tcPr>
            <w:tcW w:w="4671" w:type="dxa"/>
            <w:tcBorders>
              <w:top w:val="single" w:sz="4" w:space="0" w:color="auto"/>
              <w:left w:val="nil"/>
              <w:bottom w:val="single" w:sz="4" w:space="0" w:color="auto"/>
              <w:right w:val="nil"/>
            </w:tcBorders>
          </w:tcPr>
          <w:p w14:paraId="27AF565B" w14:textId="77777777" w:rsidR="00736B9A" w:rsidRPr="008C0A5C" w:rsidRDefault="00736B9A" w:rsidP="0014547A">
            <w:pPr>
              <w:jc w:val="both"/>
              <w:rPr>
                <w:sz w:val="18"/>
                <w:szCs w:val="18"/>
              </w:rPr>
            </w:pPr>
          </w:p>
        </w:tc>
      </w:tr>
      <w:tr w:rsidR="006A7C3F" w:rsidRPr="008C0A5C" w14:paraId="7ED98B87" w14:textId="77777777" w:rsidTr="00DD590C">
        <w:trPr>
          <w:gridBefore w:val="1"/>
          <w:wBefore w:w="6" w:type="dxa"/>
        </w:trPr>
        <w:tc>
          <w:tcPr>
            <w:tcW w:w="4683" w:type="dxa"/>
            <w:gridSpan w:val="3"/>
            <w:tcBorders>
              <w:top w:val="single" w:sz="4" w:space="0" w:color="auto"/>
            </w:tcBorders>
          </w:tcPr>
          <w:p w14:paraId="2376883C" w14:textId="77777777" w:rsidR="006A7C3F" w:rsidRPr="008C0A5C" w:rsidRDefault="00736B9A" w:rsidP="0014547A">
            <w:pPr>
              <w:jc w:val="both"/>
              <w:rPr>
                <w:sz w:val="18"/>
                <w:szCs w:val="18"/>
              </w:rPr>
            </w:pPr>
            <w:r w:rsidRPr="008C0A5C">
              <w:rPr>
                <w:sz w:val="18"/>
                <w:szCs w:val="18"/>
              </w:rPr>
              <w:t xml:space="preserve">Applicant:                                   </w:t>
            </w:r>
          </w:p>
        </w:tc>
        <w:tc>
          <w:tcPr>
            <w:tcW w:w="4671" w:type="dxa"/>
            <w:tcBorders>
              <w:top w:val="single" w:sz="4" w:space="0" w:color="auto"/>
              <w:bottom w:val="single" w:sz="4" w:space="0" w:color="auto"/>
            </w:tcBorders>
          </w:tcPr>
          <w:p w14:paraId="15552783" w14:textId="1F495877" w:rsidR="006A7C3F" w:rsidRPr="008C0A5C" w:rsidRDefault="00736B9A" w:rsidP="0014547A">
            <w:pPr>
              <w:jc w:val="both"/>
              <w:rPr>
                <w:sz w:val="18"/>
                <w:szCs w:val="18"/>
              </w:rPr>
            </w:pPr>
            <w:r w:rsidRPr="008C0A5C">
              <w:rPr>
                <w:sz w:val="18"/>
                <w:szCs w:val="18"/>
              </w:rPr>
              <w:t xml:space="preserve">Phone:  </w:t>
            </w:r>
            <w:r w:rsidR="007B168A">
              <w:rPr>
                <w:sz w:val="18"/>
                <w:szCs w:val="18"/>
              </w:rPr>
              <w:t xml:space="preserve">                   </w:t>
            </w:r>
            <w:r w:rsidR="007B168A" w:rsidRPr="008C0A5C">
              <w:rPr>
                <w:sz w:val="18"/>
                <w:szCs w:val="18"/>
              </w:rPr>
              <w:t xml:space="preserve">, e-mail: </w:t>
            </w:r>
            <w:r w:rsidR="007B168A">
              <w:rPr>
                <w:sz w:val="18"/>
                <w:szCs w:val="18"/>
              </w:rPr>
              <w:t xml:space="preserve">          </w:t>
            </w:r>
          </w:p>
        </w:tc>
      </w:tr>
      <w:tr w:rsidR="00736B9A" w:rsidRPr="008C0A5C" w14:paraId="0F1BD2E8" w14:textId="77777777" w:rsidTr="00DD590C">
        <w:trPr>
          <w:gridBefore w:val="1"/>
          <w:wBefore w:w="6" w:type="dxa"/>
        </w:trPr>
        <w:tc>
          <w:tcPr>
            <w:tcW w:w="4683" w:type="dxa"/>
            <w:gridSpan w:val="3"/>
            <w:tcBorders>
              <w:bottom w:val="single" w:sz="4" w:space="0" w:color="000000"/>
            </w:tcBorders>
          </w:tcPr>
          <w:p w14:paraId="7ACAAA0F" w14:textId="77777777" w:rsidR="00736B9A" w:rsidRPr="008C0A5C" w:rsidRDefault="00736B9A" w:rsidP="0014547A">
            <w:pPr>
              <w:jc w:val="both"/>
              <w:rPr>
                <w:sz w:val="18"/>
                <w:szCs w:val="18"/>
              </w:rPr>
            </w:pPr>
            <w:r w:rsidRPr="008C0A5C">
              <w:rPr>
                <w:sz w:val="18"/>
                <w:szCs w:val="18"/>
              </w:rPr>
              <w:t>Owner:</w:t>
            </w:r>
          </w:p>
        </w:tc>
        <w:tc>
          <w:tcPr>
            <w:tcW w:w="4671" w:type="dxa"/>
            <w:tcBorders>
              <w:top w:val="single" w:sz="4" w:space="0" w:color="auto"/>
              <w:bottom w:val="single" w:sz="4" w:space="0" w:color="000000"/>
            </w:tcBorders>
          </w:tcPr>
          <w:p w14:paraId="4BEAF091" w14:textId="2A09082E" w:rsidR="00736B9A" w:rsidRPr="008C0A5C" w:rsidRDefault="00736B9A" w:rsidP="0014547A">
            <w:pPr>
              <w:jc w:val="both"/>
              <w:rPr>
                <w:sz w:val="18"/>
                <w:szCs w:val="18"/>
              </w:rPr>
            </w:pPr>
            <w:r w:rsidRPr="008C0A5C">
              <w:rPr>
                <w:sz w:val="18"/>
                <w:szCs w:val="18"/>
              </w:rPr>
              <w:t>Phone:</w:t>
            </w:r>
            <w:r w:rsidR="007B168A">
              <w:rPr>
                <w:sz w:val="18"/>
                <w:szCs w:val="18"/>
              </w:rPr>
              <w:t xml:space="preserve">                    </w:t>
            </w:r>
            <w:r w:rsidR="007B168A" w:rsidRPr="008C0A5C">
              <w:rPr>
                <w:sz w:val="18"/>
                <w:szCs w:val="18"/>
              </w:rPr>
              <w:t xml:space="preserve"> , e-mail: </w:t>
            </w:r>
            <w:r w:rsidR="007B168A">
              <w:rPr>
                <w:sz w:val="18"/>
                <w:szCs w:val="18"/>
              </w:rPr>
              <w:t xml:space="preserve">          </w:t>
            </w:r>
          </w:p>
        </w:tc>
      </w:tr>
      <w:tr w:rsidR="00736B9A" w:rsidRPr="008C0A5C" w14:paraId="7547591B" w14:textId="77777777" w:rsidTr="00DD590C">
        <w:trPr>
          <w:gridBefore w:val="1"/>
          <w:wBefore w:w="6" w:type="dxa"/>
        </w:trPr>
        <w:tc>
          <w:tcPr>
            <w:tcW w:w="4683" w:type="dxa"/>
            <w:gridSpan w:val="3"/>
            <w:tcBorders>
              <w:bottom w:val="single" w:sz="4" w:space="0" w:color="auto"/>
            </w:tcBorders>
          </w:tcPr>
          <w:p w14:paraId="3976B4CC" w14:textId="77777777" w:rsidR="00736B9A" w:rsidRPr="008C0A5C" w:rsidRDefault="00736B9A" w:rsidP="0014547A">
            <w:pPr>
              <w:pStyle w:val="Heading3"/>
              <w:ind w:left="0"/>
              <w:jc w:val="both"/>
              <w:rPr>
                <w:b w:val="0"/>
                <w:sz w:val="18"/>
                <w:szCs w:val="18"/>
              </w:rPr>
            </w:pPr>
            <w:r w:rsidRPr="008C0A5C">
              <w:rPr>
                <w:b w:val="0"/>
                <w:sz w:val="18"/>
                <w:szCs w:val="18"/>
              </w:rPr>
              <w:t>Architect/Engineer/Draftsman:</w:t>
            </w:r>
          </w:p>
        </w:tc>
        <w:tc>
          <w:tcPr>
            <w:tcW w:w="4671" w:type="dxa"/>
            <w:tcBorders>
              <w:bottom w:val="single" w:sz="4" w:space="0" w:color="auto"/>
            </w:tcBorders>
          </w:tcPr>
          <w:p w14:paraId="1A02B786" w14:textId="5971497E" w:rsidR="00736B9A" w:rsidRPr="008C0A5C" w:rsidRDefault="00736B9A" w:rsidP="0014547A">
            <w:pPr>
              <w:jc w:val="both"/>
              <w:rPr>
                <w:sz w:val="18"/>
                <w:szCs w:val="18"/>
              </w:rPr>
            </w:pPr>
            <w:r w:rsidRPr="008C0A5C">
              <w:rPr>
                <w:sz w:val="18"/>
                <w:szCs w:val="18"/>
              </w:rPr>
              <w:t>Phone:</w:t>
            </w:r>
            <w:r w:rsidR="007B168A">
              <w:rPr>
                <w:sz w:val="18"/>
                <w:szCs w:val="18"/>
              </w:rPr>
              <w:t xml:space="preserve">                    </w:t>
            </w:r>
            <w:r w:rsidRPr="008C0A5C">
              <w:rPr>
                <w:sz w:val="18"/>
                <w:szCs w:val="18"/>
              </w:rPr>
              <w:t xml:space="preserve"> </w:t>
            </w:r>
            <w:r w:rsidR="007B168A" w:rsidRPr="008C0A5C">
              <w:rPr>
                <w:sz w:val="18"/>
                <w:szCs w:val="18"/>
              </w:rPr>
              <w:t xml:space="preserve">, e-mail: </w:t>
            </w:r>
            <w:r w:rsidR="007B168A">
              <w:rPr>
                <w:sz w:val="18"/>
                <w:szCs w:val="18"/>
              </w:rPr>
              <w:t xml:space="preserve">          </w:t>
            </w:r>
          </w:p>
        </w:tc>
      </w:tr>
      <w:tr w:rsidR="00736B9A" w:rsidRPr="008C0A5C" w14:paraId="4D5B76AA" w14:textId="77777777" w:rsidTr="00DD590C">
        <w:trPr>
          <w:gridBefore w:val="1"/>
          <w:wBefore w:w="6" w:type="dxa"/>
        </w:trPr>
        <w:tc>
          <w:tcPr>
            <w:tcW w:w="4683" w:type="dxa"/>
            <w:gridSpan w:val="3"/>
            <w:tcBorders>
              <w:top w:val="single" w:sz="4" w:space="0" w:color="auto"/>
              <w:left w:val="nil"/>
              <w:bottom w:val="single" w:sz="4" w:space="0" w:color="auto"/>
              <w:right w:val="nil"/>
            </w:tcBorders>
          </w:tcPr>
          <w:p w14:paraId="4D32614F" w14:textId="77777777" w:rsidR="00736B9A" w:rsidRPr="008C0A5C" w:rsidRDefault="00736B9A" w:rsidP="0014547A">
            <w:pPr>
              <w:pStyle w:val="Heading3"/>
              <w:ind w:left="0"/>
              <w:jc w:val="both"/>
              <w:rPr>
                <w:sz w:val="18"/>
                <w:szCs w:val="18"/>
              </w:rPr>
            </w:pPr>
          </w:p>
        </w:tc>
        <w:tc>
          <w:tcPr>
            <w:tcW w:w="4671" w:type="dxa"/>
            <w:tcBorders>
              <w:top w:val="single" w:sz="4" w:space="0" w:color="auto"/>
              <w:left w:val="nil"/>
              <w:bottom w:val="single" w:sz="4" w:space="0" w:color="auto"/>
              <w:right w:val="nil"/>
            </w:tcBorders>
          </w:tcPr>
          <w:p w14:paraId="20CC0152" w14:textId="77777777" w:rsidR="00736B9A" w:rsidRPr="008C0A5C" w:rsidRDefault="00736B9A" w:rsidP="0014547A">
            <w:pPr>
              <w:jc w:val="both"/>
              <w:rPr>
                <w:sz w:val="18"/>
                <w:szCs w:val="18"/>
              </w:rPr>
            </w:pPr>
          </w:p>
        </w:tc>
      </w:tr>
      <w:tr w:rsidR="002C1BC3" w:rsidRPr="008C0A5C" w14:paraId="23D93524" w14:textId="77777777" w:rsidTr="00DD590C">
        <w:trPr>
          <w:gridBefore w:val="1"/>
          <w:wBefore w:w="6" w:type="dxa"/>
        </w:trPr>
        <w:tc>
          <w:tcPr>
            <w:tcW w:w="2962" w:type="dxa"/>
            <w:gridSpan w:val="2"/>
            <w:tcBorders>
              <w:top w:val="single" w:sz="4" w:space="0" w:color="auto"/>
              <w:left w:val="single" w:sz="4" w:space="0" w:color="auto"/>
              <w:bottom w:val="single" w:sz="4" w:space="0" w:color="auto"/>
              <w:right w:val="single" w:sz="4" w:space="0" w:color="auto"/>
            </w:tcBorders>
          </w:tcPr>
          <w:p w14:paraId="48E4235C" w14:textId="77777777" w:rsidR="002C1BC3" w:rsidRPr="008C0A5C" w:rsidRDefault="006D23B2" w:rsidP="0014547A">
            <w:pPr>
              <w:pStyle w:val="Heading3"/>
              <w:ind w:left="0"/>
              <w:jc w:val="both"/>
              <w:rPr>
                <w:b w:val="0"/>
                <w:sz w:val="18"/>
                <w:szCs w:val="18"/>
              </w:rPr>
            </w:pPr>
            <w:r w:rsidRPr="008C0A5C">
              <w:rPr>
                <w:b w:val="0"/>
                <w:sz w:val="18"/>
                <w:szCs w:val="18"/>
              </w:rPr>
              <w:t xml:space="preserve">Reviewed </w:t>
            </w:r>
            <w:r w:rsidR="002C1BC3" w:rsidRPr="008C0A5C">
              <w:rPr>
                <w:b w:val="0"/>
                <w:sz w:val="18"/>
                <w:szCs w:val="18"/>
              </w:rPr>
              <w:t>by:</w:t>
            </w:r>
            <w:r w:rsidR="0054062C" w:rsidRPr="008C0A5C">
              <w:rPr>
                <w:b w:val="0"/>
                <w:sz w:val="18"/>
                <w:szCs w:val="18"/>
              </w:rPr>
              <w:t xml:space="preserve"> </w:t>
            </w:r>
          </w:p>
        </w:tc>
        <w:tc>
          <w:tcPr>
            <w:tcW w:w="1721" w:type="dxa"/>
            <w:tcBorders>
              <w:top w:val="single" w:sz="4" w:space="0" w:color="auto"/>
              <w:left w:val="single" w:sz="4" w:space="0" w:color="auto"/>
              <w:bottom w:val="single" w:sz="4" w:space="0" w:color="auto"/>
              <w:right w:val="single" w:sz="4" w:space="0" w:color="auto"/>
            </w:tcBorders>
          </w:tcPr>
          <w:p w14:paraId="732D64D3" w14:textId="77777777" w:rsidR="002C1BC3" w:rsidRPr="008C0A5C" w:rsidRDefault="002C1BC3" w:rsidP="0014547A">
            <w:pPr>
              <w:pStyle w:val="Heading3"/>
              <w:ind w:left="0"/>
              <w:jc w:val="both"/>
              <w:rPr>
                <w:b w:val="0"/>
                <w:sz w:val="18"/>
                <w:szCs w:val="18"/>
              </w:rPr>
            </w:pPr>
            <w:r w:rsidRPr="008C0A5C">
              <w:rPr>
                <w:b w:val="0"/>
                <w:sz w:val="18"/>
                <w:szCs w:val="18"/>
              </w:rPr>
              <w:t>Date:</w:t>
            </w:r>
          </w:p>
        </w:tc>
        <w:tc>
          <w:tcPr>
            <w:tcW w:w="4671" w:type="dxa"/>
            <w:tcBorders>
              <w:top w:val="single" w:sz="4" w:space="0" w:color="auto"/>
              <w:left w:val="single" w:sz="4" w:space="0" w:color="auto"/>
              <w:bottom w:val="single" w:sz="4" w:space="0" w:color="auto"/>
              <w:right w:val="single" w:sz="4" w:space="0" w:color="auto"/>
            </w:tcBorders>
          </w:tcPr>
          <w:p w14:paraId="2F81DBC7" w14:textId="77777777" w:rsidR="002C1BC3" w:rsidRPr="008C0A5C" w:rsidRDefault="0054062C" w:rsidP="0054062C">
            <w:pPr>
              <w:pStyle w:val="Heading3"/>
              <w:ind w:left="0"/>
              <w:jc w:val="both"/>
              <w:rPr>
                <w:b w:val="0"/>
                <w:sz w:val="18"/>
                <w:szCs w:val="18"/>
              </w:rPr>
            </w:pPr>
            <w:r w:rsidRPr="008C0A5C">
              <w:rPr>
                <w:b w:val="0"/>
                <w:sz w:val="18"/>
                <w:szCs w:val="18"/>
              </w:rPr>
              <w:t xml:space="preserve">Ph: (909)395-         , e-mail: </w:t>
            </w:r>
            <w:r w:rsidR="005F540A">
              <w:rPr>
                <w:b w:val="0"/>
                <w:sz w:val="18"/>
                <w:szCs w:val="18"/>
              </w:rPr>
              <w:t xml:space="preserve">          @ontarioca.gov</w:t>
            </w:r>
          </w:p>
        </w:tc>
      </w:tr>
      <w:tr w:rsidR="002C1BC3" w:rsidRPr="008C0A5C" w14:paraId="0CCAE30C" w14:textId="77777777" w:rsidTr="00DD590C">
        <w:tc>
          <w:tcPr>
            <w:tcW w:w="4689" w:type="dxa"/>
            <w:gridSpan w:val="4"/>
            <w:tcBorders>
              <w:top w:val="nil"/>
              <w:left w:val="nil"/>
              <w:bottom w:val="nil"/>
              <w:right w:val="nil"/>
            </w:tcBorders>
          </w:tcPr>
          <w:p w14:paraId="5ED8635E" w14:textId="77777777" w:rsidR="002C1BC3" w:rsidRPr="008C0A5C" w:rsidRDefault="002C1BC3" w:rsidP="0014547A">
            <w:pPr>
              <w:pStyle w:val="Heading3"/>
              <w:ind w:left="0"/>
              <w:jc w:val="both"/>
              <w:rPr>
                <w:sz w:val="18"/>
                <w:szCs w:val="18"/>
              </w:rPr>
            </w:pPr>
          </w:p>
        </w:tc>
        <w:tc>
          <w:tcPr>
            <w:tcW w:w="4671" w:type="dxa"/>
            <w:tcBorders>
              <w:top w:val="nil"/>
              <w:left w:val="nil"/>
              <w:bottom w:val="nil"/>
              <w:right w:val="nil"/>
            </w:tcBorders>
          </w:tcPr>
          <w:p w14:paraId="2E68FD51" w14:textId="77777777" w:rsidR="002C1BC3" w:rsidRPr="008C0A5C" w:rsidRDefault="002C1BC3" w:rsidP="0014547A">
            <w:pPr>
              <w:pStyle w:val="Heading3"/>
              <w:ind w:left="0"/>
              <w:jc w:val="both"/>
              <w:rPr>
                <w:sz w:val="18"/>
                <w:szCs w:val="18"/>
              </w:rPr>
            </w:pPr>
          </w:p>
        </w:tc>
      </w:tr>
      <w:tr w:rsidR="002C1BC3" w:rsidRPr="008C0A5C" w14:paraId="06436237" w14:textId="77777777" w:rsidTr="00DD590C">
        <w:tc>
          <w:tcPr>
            <w:tcW w:w="4689" w:type="dxa"/>
            <w:gridSpan w:val="4"/>
            <w:tcBorders>
              <w:top w:val="nil"/>
              <w:left w:val="nil"/>
              <w:bottom w:val="nil"/>
              <w:right w:val="nil"/>
            </w:tcBorders>
          </w:tcPr>
          <w:p w14:paraId="5E74F5EF" w14:textId="77777777" w:rsidR="002C1BC3" w:rsidRPr="008C0A5C" w:rsidRDefault="002C1BC3" w:rsidP="0014547A">
            <w:pPr>
              <w:pStyle w:val="Heading3"/>
              <w:ind w:left="0"/>
              <w:jc w:val="both"/>
              <w:rPr>
                <w:sz w:val="18"/>
                <w:szCs w:val="18"/>
              </w:rPr>
            </w:pPr>
          </w:p>
        </w:tc>
        <w:tc>
          <w:tcPr>
            <w:tcW w:w="4671" w:type="dxa"/>
            <w:tcBorders>
              <w:top w:val="nil"/>
              <w:left w:val="nil"/>
              <w:bottom w:val="nil"/>
              <w:right w:val="nil"/>
            </w:tcBorders>
          </w:tcPr>
          <w:p w14:paraId="480BC2F7" w14:textId="77777777" w:rsidR="002C1BC3" w:rsidRPr="008C0A5C" w:rsidRDefault="002C1BC3" w:rsidP="0014547A">
            <w:pPr>
              <w:pStyle w:val="Heading3"/>
              <w:ind w:left="0"/>
              <w:jc w:val="both"/>
              <w:rPr>
                <w:sz w:val="18"/>
                <w:szCs w:val="18"/>
              </w:rPr>
            </w:pPr>
          </w:p>
        </w:tc>
      </w:tr>
    </w:tbl>
    <w:p w14:paraId="621B7B58" w14:textId="77777777" w:rsidR="00D21D28" w:rsidRPr="008C0A5C" w:rsidRDefault="00D21D28" w:rsidP="00A020A8">
      <w:pPr>
        <w:ind w:left="360"/>
        <w:rPr>
          <w:b/>
          <w:sz w:val="18"/>
          <w:szCs w:val="18"/>
          <w:u w:val="single"/>
        </w:rPr>
      </w:pPr>
      <w:r w:rsidRPr="008C0A5C">
        <w:rPr>
          <w:b/>
          <w:sz w:val="18"/>
          <w:szCs w:val="18"/>
          <w:u w:val="single"/>
        </w:rPr>
        <w:t>INSTRUCTIONS:</w:t>
      </w:r>
    </w:p>
    <w:p w14:paraId="5357D4FB" w14:textId="58D397AB" w:rsidR="00D21D28" w:rsidRPr="008C0A5C" w:rsidRDefault="00174379" w:rsidP="00A020A8">
      <w:pPr>
        <w:pStyle w:val="Heading3"/>
        <w:numPr>
          <w:ilvl w:val="0"/>
          <w:numId w:val="1"/>
        </w:numPr>
        <w:tabs>
          <w:tab w:val="clear" w:pos="1080"/>
          <w:tab w:val="num" w:pos="720"/>
        </w:tabs>
        <w:ind w:left="360"/>
        <w:rPr>
          <w:sz w:val="18"/>
          <w:szCs w:val="18"/>
        </w:rPr>
      </w:pPr>
      <w:r w:rsidRPr="008C0A5C">
        <w:rPr>
          <w:sz w:val="18"/>
          <w:szCs w:val="18"/>
        </w:rPr>
        <w:t>Numbers in bracket [ ]</w:t>
      </w:r>
      <w:r w:rsidR="00AF3FBE" w:rsidRPr="008C0A5C">
        <w:rPr>
          <w:sz w:val="18"/>
          <w:szCs w:val="18"/>
        </w:rPr>
        <w:t xml:space="preserve"> refer to code section</w:t>
      </w:r>
      <w:r w:rsidR="00186241" w:rsidRPr="008C0A5C">
        <w:rPr>
          <w:sz w:val="18"/>
          <w:szCs w:val="18"/>
        </w:rPr>
        <w:t>s</w:t>
      </w:r>
      <w:r w:rsidR="004F7EF3" w:rsidRPr="008C0A5C">
        <w:rPr>
          <w:sz w:val="18"/>
          <w:szCs w:val="18"/>
        </w:rPr>
        <w:t xml:space="preserve"> of</w:t>
      </w:r>
      <w:r w:rsidR="00DD590C" w:rsidRPr="008C0A5C">
        <w:rPr>
          <w:sz w:val="18"/>
          <w:szCs w:val="18"/>
        </w:rPr>
        <w:t xml:space="preserve"> 20</w:t>
      </w:r>
      <w:r w:rsidR="00E832A0">
        <w:rPr>
          <w:sz w:val="18"/>
          <w:szCs w:val="18"/>
        </w:rPr>
        <w:t>22</w:t>
      </w:r>
      <w:r w:rsidR="0024031D" w:rsidRPr="008C0A5C">
        <w:rPr>
          <w:sz w:val="18"/>
          <w:szCs w:val="18"/>
        </w:rPr>
        <w:t xml:space="preserve"> California </w:t>
      </w:r>
      <w:r w:rsidRPr="008C0A5C">
        <w:rPr>
          <w:sz w:val="18"/>
          <w:szCs w:val="18"/>
        </w:rPr>
        <w:t>Green Buildings Standards Code (</w:t>
      </w:r>
      <w:r w:rsidR="0024031D" w:rsidRPr="008C0A5C">
        <w:rPr>
          <w:i/>
          <w:sz w:val="18"/>
          <w:szCs w:val="18"/>
        </w:rPr>
        <w:t>C</w:t>
      </w:r>
      <w:r w:rsidR="00982523" w:rsidRPr="008C0A5C">
        <w:rPr>
          <w:i/>
          <w:sz w:val="18"/>
          <w:szCs w:val="18"/>
        </w:rPr>
        <w:t>AL</w:t>
      </w:r>
      <w:r w:rsidR="004720E9" w:rsidRPr="008C0A5C">
        <w:rPr>
          <w:i/>
          <w:sz w:val="18"/>
          <w:szCs w:val="18"/>
        </w:rPr>
        <w:t>Green</w:t>
      </w:r>
      <w:r w:rsidRPr="008C0A5C">
        <w:rPr>
          <w:sz w:val="18"/>
          <w:szCs w:val="18"/>
        </w:rPr>
        <w:t>)</w:t>
      </w:r>
      <w:r w:rsidR="002B7267">
        <w:rPr>
          <w:sz w:val="18"/>
          <w:szCs w:val="18"/>
        </w:rPr>
        <w:t xml:space="preserve"> </w:t>
      </w:r>
      <w:r w:rsidR="002B7267" w:rsidRPr="00C53C16">
        <w:rPr>
          <w:color w:val="C00000"/>
          <w:sz w:val="18"/>
          <w:szCs w:val="18"/>
        </w:rPr>
        <w:t xml:space="preserve">with </w:t>
      </w:r>
      <w:r w:rsidR="002B7267" w:rsidRPr="003C314E">
        <w:rPr>
          <w:color w:val="C00000"/>
          <w:sz w:val="18"/>
          <w:szCs w:val="18"/>
        </w:rPr>
        <w:t>supplement effective July 1, 2024</w:t>
      </w:r>
      <w:r w:rsidR="005245B5" w:rsidRPr="008C0A5C">
        <w:rPr>
          <w:sz w:val="18"/>
          <w:szCs w:val="18"/>
        </w:rPr>
        <w:t xml:space="preserve">. </w:t>
      </w:r>
      <w:r w:rsidR="00361254" w:rsidRPr="008C0A5C">
        <w:rPr>
          <w:sz w:val="18"/>
          <w:szCs w:val="18"/>
        </w:rPr>
        <w:t xml:space="preserve"> </w:t>
      </w:r>
      <w:r w:rsidR="00255268">
        <w:rPr>
          <w:sz w:val="18"/>
          <w:szCs w:val="18"/>
        </w:rPr>
        <w:t xml:space="preserve">Supplements are identified in </w:t>
      </w:r>
      <w:r w:rsidR="00255268" w:rsidRPr="003C314E">
        <w:rPr>
          <w:color w:val="C00000"/>
          <w:sz w:val="18"/>
          <w:szCs w:val="18"/>
        </w:rPr>
        <w:t>red fonts</w:t>
      </w:r>
      <w:r w:rsidR="00255268">
        <w:rPr>
          <w:sz w:val="18"/>
          <w:szCs w:val="18"/>
        </w:rPr>
        <w:t>.</w:t>
      </w:r>
    </w:p>
    <w:p w14:paraId="12ABAD33" w14:textId="6B787173" w:rsidR="00FE718F" w:rsidRPr="002B7267" w:rsidRDefault="00D21D28" w:rsidP="005C50D7">
      <w:pPr>
        <w:pStyle w:val="Heading3"/>
        <w:numPr>
          <w:ilvl w:val="0"/>
          <w:numId w:val="1"/>
        </w:numPr>
        <w:tabs>
          <w:tab w:val="clear" w:pos="1080"/>
          <w:tab w:val="num" w:pos="360"/>
        </w:tabs>
        <w:ind w:left="360"/>
        <w:rPr>
          <w:sz w:val="18"/>
          <w:szCs w:val="18"/>
        </w:rPr>
      </w:pPr>
      <w:r w:rsidRPr="002B7267">
        <w:rPr>
          <w:sz w:val="18"/>
          <w:szCs w:val="18"/>
        </w:rPr>
        <w:t xml:space="preserve">Correct original drawings. </w:t>
      </w:r>
      <w:r w:rsidR="0091254E" w:rsidRPr="002B7267">
        <w:rPr>
          <w:sz w:val="18"/>
          <w:szCs w:val="18"/>
        </w:rPr>
        <w:t xml:space="preserve">Cloud any changes, revisions, or additions. </w:t>
      </w:r>
      <w:r w:rsidR="0010333B" w:rsidRPr="002B7267">
        <w:rPr>
          <w:bCs/>
          <w:sz w:val="18"/>
          <w:szCs w:val="18"/>
        </w:rPr>
        <w:t xml:space="preserve">Resubmit corrected plans/calculations/reports along with </w:t>
      </w:r>
      <w:r w:rsidR="002B7267" w:rsidRPr="002B7267">
        <w:rPr>
          <w:bCs/>
          <w:sz w:val="18"/>
          <w:szCs w:val="18"/>
        </w:rPr>
        <w:t>these</w:t>
      </w:r>
      <w:r w:rsidR="0010333B" w:rsidRPr="002B7267">
        <w:rPr>
          <w:bCs/>
          <w:sz w:val="18"/>
          <w:szCs w:val="18"/>
        </w:rPr>
        <w:t xml:space="preserve"> correction sheets </w:t>
      </w:r>
      <w:r w:rsidR="0010333B" w:rsidRPr="002B7267">
        <w:rPr>
          <w:bCs/>
          <w:sz w:val="18"/>
          <w:szCs w:val="18"/>
          <w:u w:val="single"/>
        </w:rPr>
        <w:t>in digital format</w:t>
      </w:r>
      <w:r w:rsidR="0010333B" w:rsidRPr="002B7267">
        <w:rPr>
          <w:b w:val="0"/>
          <w:sz w:val="18"/>
          <w:szCs w:val="18"/>
        </w:rPr>
        <w:t>.</w:t>
      </w:r>
      <w:r w:rsidR="00FD0870" w:rsidRPr="002B7267">
        <w:rPr>
          <w:b w:val="0"/>
          <w:sz w:val="18"/>
          <w:szCs w:val="18"/>
        </w:rPr>
        <w:t xml:space="preserve"> </w:t>
      </w:r>
      <w:r w:rsidR="00FD0870" w:rsidRPr="002B7267">
        <w:rPr>
          <w:bCs/>
          <w:sz w:val="18"/>
          <w:szCs w:val="18"/>
        </w:rPr>
        <w:t>Go to City of Ontario Building Department web site for “Digital Submittal</w:t>
      </w:r>
      <w:r w:rsidR="007264CD" w:rsidRPr="002B7267">
        <w:rPr>
          <w:bCs/>
          <w:sz w:val="18"/>
          <w:szCs w:val="18"/>
        </w:rPr>
        <w:t>s</w:t>
      </w:r>
      <w:r w:rsidR="00FD0870" w:rsidRPr="002B7267">
        <w:rPr>
          <w:bCs/>
          <w:sz w:val="18"/>
          <w:szCs w:val="18"/>
        </w:rPr>
        <w:t xml:space="preserve"> </w:t>
      </w:r>
      <w:r w:rsidR="007264CD" w:rsidRPr="002B7267">
        <w:rPr>
          <w:bCs/>
          <w:sz w:val="18"/>
          <w:szCs w:val="18"/>
        </w:rPr>
        <w:t>Instructions</w:t>
      </w:r>
      <w:r w:rsidR="00FD0870" w:rsidRPr="002B7267">
        <w:rPr>
          <w:bCs/>
          <w:sz w:val="18"/>
          <w:szCs w:val="18"/>
        </w:rPr>
        <w:t xml:space="preserve">” </w:t>
      </w:r>
      <w:r w:rsidR="007264CD" w:rsidRPr="002B7267">
        <w:rPr>
          <w:bCs/>
          <w:sz w:val="18"/>
          <w:szCs w:val="18"/>
        </w:rPr>
        <w:t>under Applications/Fo</w:t>
      </w:r>
      <w:r w:rsidR="00FE718F" w:rsidRPr="002B7267">
        <w:rPr>
          <w:bCs/>
          <w:sz w:val="18"/>
          <w:szCs w:val="18"/>
        </w:rPr>
        <w:t xml:space="preserve">rms – </w:t>
      </w:r>
      <w:hyperlink r:id="rId8" w:history="1">
        <w:r w:rsidR="00FE718F" w:rsidRPr="002B7267">
          <w:rPr>
            <w:rStyle w:val="Hyperlink"/>
            <w:sz w:val="18"/>
            <w:szCs w:val="18"/>
          </w:rPr>
          <w:t>https://www.ontarioca.gov/Building/Applications</w:t>
        </w:r>
      </w:hyperlink>
      <w:r w:rsidR="00FE718F" w:rsidRPr="002B7267">
        <w:rPr>
          <w:sz w:val="18"/>
          <w:szCs w:val="18"/>
        </w:rPr>
        <w:t>.</w:t>
      </w:r>
    </w:p>
    <w:p w14:paraId="413C7E15" w14:textId="77777777" w:rsidR="004F5080" w:rsidRDefault="00F81EE5" w:rsidP="00893358">
      <w:pPr>
        <w:pStyle w:val="Heading3"/>
        <w:numPr>
          <w:ilvl w:val="0"/>
          <w:numId w:val="1"/>
        </w:numPr>
        <w:tabs>
          <w:tab w:val="clear" w:pos="1080"/>
          <w:tab w:val="num" w:pos="720"/>
        </w:tabs>
        <w:ind w:left="360"/>
        <w:rPr>
          <w:sz w:val="18"/>
          <w:szCs w:val="18"/>
        </w:rPr>
      </w:pPr>
      <w:r w:rsidRPr="004F5080">
        <w:rPr>
          <w:sz w:val="18"/>
          <w:szCs w:val="18"/>
        </w:rPr>
        <w:t xml:space="preserve">In the Respond column, </w:t>
      </w:r>
      <w:r w:rsidR="004F5080" w:rsidRPr="008A5F26">
        <w:rPr>
          <w:sz w:val="18"/>
          <w:szCs w:val="18"/>
        </w:rPr>
        <w:t>please indicate the sheet number and detail or note number on the plan where the corrections are made or provide a separate response sheet.</w:t>
      </w:r>
      <w:r w:rsidR="004F5080">
        <w:rPr>
          <w:sz w:val="18"/>
          <w:szCs w:val="18"/>
        </w:rPr>
        <w:t xml:space="preserve"> </w:t>
      </w:r>
    </w:p>
    <w:p w14:paraId="5DF85BF5" w14:textId="7AFFC52E" w:rsidR="00A020A8" w:rsidRDefault="005836C7" w:rsidP="00893358">
      <w:pPr>
        <w:pStyle w:val="Heading3"/>
        <w:numPr>
          <w:ilvl w:val="0"/>
          <w:numId w:val="1"/>
        </w:numPr>
        <w:tabs>
          <w:tab w:val="clear" w:pos="1080"/>
          <w:tab w:val="num" w:pos="720"/>
        </w:tabs>
        <w:ind w:left="360"/>
        <w:rPr>
          <w:sz w:val="18"/>
          <w:szCs w:val="18"/>
        </w:rPr>
      </w:pPr>
      <w:r w:rsidRPr="004F5080">
        <w:rPr>
          <w:sz w:val="18"/>
          <w:szCs w:val="18"/>
        </w:rPr>
        <w:t>Itemize any changes, revisions, or additions made to drawings that are not a direct answer to a correction</w:t>
      </w:r>
      <w:r w:rsidR="00F81EE5" w:rsidRPr="004F5080">
        <w:rPr>
          <w:sz w:val="18"/>
          <w:szCs w:val="18"/>
        </w:rPr>
        <w:t xml:space="preserve"> on a separate sheet</w:t>
      </w:r>
      <w:r w:rsidRPr="004F5080">
        <w:rPr>
          <w:sz w:val="18"/>
          <w:szCs w:val="18"/>
        </w:rPr>
        <w:t>.</w:t>
      </w:r>
    </w:p>
    <w:p w14:paraId="2142D345" w14:textId="604B4CEC" w:rsidR="000C63D1" w:rsidRPr="003C314E" w:rsidRDefault="000C63D1" w:rsidP="000C63D1">
      <w:pPr>
        <w:pStyle w:val="ListParagraph"/>
        <w:numPr>
          <w:ilvl w:val="0"/>
          <w:numId w:val="1"/>
        </w:numPr>
        <w:ind w:left="360"/>
        <w:rPr>
          <w:b/>
          <w:bCs/>
          <w:color w:val="C00000"/>
          <w:sz w:val="18"/>
          <w:szCs w:val="18"/>
        </w:rPr>
      </w:pPr>
      <w:r w:rsidRPr="003C314E">
        <w:rPr>
          <w:b/>
          <w:bCs/>
          <w:color w:val="C00000"/>
          <w:sz w:val="18"/>
          <w:szCs w:val="18"/>
        </w:rPr>
        <w:t>Plans will not be allowed to be resubmitted until all reviewing departments have completed their review and address all their corrections.</w:t>
      </w:r>
    </w:p>
    <w:p w14:paraId="1BECAB62" w14:textId="4C09E963" w:rsidR="005836C7" w:rsidRPr="008C0A5C" w:rsidRDefault="005836C7" w:rsidP="00A020A8">
      <w:pPr>
        <w:pStyle w:val="Heading4"/>
        <w:numPr>
          <w:ilvl w:val="0"/>
          <w:numId w:val="1"/>
        </w:numPr>
        <w:tabs>
          <w:tab w:val="clear" w:pos="1080"/>
          <w:tab w:val="num" w:pos="720"/>
        </w:tabs>
        <w:ind w:left="360" w:right="0"/>
        <w:rPr>
          <w:sz w:val="18"/>
          <w:szCs w:val="18"/>
        </w:rPr>
      </w:pPr>
      <w:r w:rsidRPr="008C0A5C">
        <w:rPr>
          <w:sz w:val="18"/>
          <w:szCs w:val="18"/>
        </w:rPr>
        <w:t xml:space="preserve">Additional plan check fee will be required </w:t>
      </w:r>
      <w:r w:rsidRPr="008C0A5C">
        <w:rPr>
          <w:sz w:val="18"/>
          <w:szCs w:val="18"/>
          <w:u w:val="single"/>
        </w:rPr>
        <w:t xml:space="preserve">after </w:t>
      </w:r>
      <w:r w:rsidR="000C63D1">
        <w:rPr>
          <w:sz w:val="18"/>
          <w:szCs w:val="18"/>
          <w:u w:val="single"/>
        </w:rPr>
        <w:t>3</w:t>
      </w:r>
      <w:r w:rsidR="000C63D1" w:rsidRPr="000C63D1">
        <w:rPr>
          <w:sz w:val="18"/>
          <w:szCs w:val="18"/>
          <w:u w:val="single"/>
          <w:vertAlign w:val="superscript"/>
        </w:rPr>
        <w:t>rd</w:t>
      </w:r>
      <w:r w:rsidR="000C63D1">
        <w:rPr>
          <w:sz w:val="18"/>
          <w:szCs w:val="18"/>
          <w:u w:val="single"/>
        </w:rPr>
        <w:t xml:space="preserve"> </w:t>
      </w:r>
      <w:r w:rsidRPr="008C0A5C">
        <w:rPr>
          <w:sz w:val="18"/>
          <w:szCs w:val="18"/>
          <w:u w:val="single"/>
        </w:rPr>
        <w:t>review</w:t>
      </w:r>
      <w:r w:rsidRPr="008C0A5C">
        <w:rPr>
          <w:sz w:val="18"/>
          <w:szCs w:val="18"/>
        </w:rPr>
        <w:t xml:space="preserve"> on hourly rate basis.</w:t>
      </w:r>
    </w:p>
    <w:p w14:paraId="61779F39" w14:textId="77777777" w:rsidR="005836C7" w:rsidRPr="008C0A5C" w:rsidRDefault="005836C7" w:rsidP="005836C7">
      <w:pPr>
        <w:pStyle w:val="CommentText"/>
        <w:jc w:val="both"/>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10"/>
        <w:gridCol w:w="6210"/>
        <w:gridCol w:w="1620"/>
      </w:tblGrid>
      <w:tr w:rsidR="00DA1B6D" w:rsidRPr="008C0A5C" w14:paraId="5D81BC20" w14:textId="77777777" w:rsidTr="0054062C">
        <w:tc>
          <w:tcPr>
            <w:tcW w:w="720" w:type="dxa"/>
            <w:tcBorders>
              <w:top w:val="single" w:sz="4" w:space="0" w:color="auto"/>
              <w:left w:val="single" w:sz="4" w:space="0" w:color="auto"/>
              <w:bottom w:val="double" w:sz="2" w:space="0" w:color="auto"/>
              <w:right w:val="single" w:sz="4" w:space="0" w:color="auto"/>
            </w:tcBorders>
            <w:shd w:val="pct30" w:color="000000" w:fill="FFFFFF"/>
          </w:tcPr>
          <w:p w14:paraId="452438A1" w14:textId="77777777" w:rsidR="00DA1B6D" w:rsidRPr="008C0A5C" w:rsidRDefault="000A1549">
            <w:pPr>
              <w:jc w:val="center"/>
              <w:rPr>
                <w:b/>
                <w:color w:val="FFFFFF"/>
                <w:sz w:val="18"/>
                <w:szCs w:val="18"/>
              </w:rPr>
            </w:pPr>
            <w:r w:rsidRPr="008C0A5C">
              <w:rPr>
                <w:b/>
                <w:color w:val="FFFFFF"/>
                <w:sz w:val="18"/>
                <w:szCs w:val="18"/>
              </w:rPr>
              <w:t>Item</w:t>
            </w:r>
            <w:r w:rsidR="00DA1B6D" w:rsidRPr="008C0A5C">
              <w:rPr>
                <w:b/>
                <w:color w:val="FFFFFF"/>
                <w:sz w:val="18"/>
                <w:szCs w:val="18"/>
              </w:rPr>
              <w:t xml:space="preserve"> #</w:t>
            </w:r>
          </w:p>
        </w:tc>
        <w:tc>
          <w:tcPr>
            <w:tcW w:w="810" w:type="dxa"/>
            <w:tcBorders>
              <w:top w:val="single" w:sz="4" w:space="0" w:color="auto"/>
              <w:left w:val="single" w:sz="4" w:space="0" w:color="auto"/>
              <w:bottom w:val="double" w:sz="2" w:space="0" w:color="auto"/>
              <w:right w:val="single" w:sz="4" w:space="0" w:color="auto"/>
            </w:tcBorders>
            <w:shd w:val="pct30" w:color="000000" w:fill="FFFFFF"/>
          </w:tcPr>
          <w:p w14:paraId="199D5A0C" w14:textId="77777777" w:rsidR="00DA1B6D" w:rsidRPr="008C0A5C" w:rsidRDefault="00DA1B6D">
            <w:pPr>
              <w:pStyle w:val="Heading5"/>
              <w:jc w:val="center"/>
              <w:rPr>
                <w:b/>
                <w:color w:val="FFFFFF"/>
                <w:sz w:val="18"/>
                <w:szCs w:val="18"/>
              </w:rPr>
            </w:pPr>
            <w:r w:rsidRPr="008C0A5C">
              <w:rPr>
                <w:b/>
                <w:color w:val="FFFFFF"/>
                <w:sz w:val="18"/>
                <w:szCs w:val="18"/>
              </w:rPr>
              <w:t>Sheet #</w:t>
            </w:r>
          </w:p>
        </w:tc>
        <w:tc>
          <w:tcPr>
            <w:tcW w:w="6210" w:type="dxa"/>
            <w:tcBorders>
              <w:top w:val="single" w:sz="4" w:space="0" w:color="auto"/>
              <w:left w:val="single" w:sz="4" w:space="0" w:color="auto"/>
              <w:bottom w:val="double" w:sz="2" w:space="0" w:color="auto"/>
              <w:right w:val="single" w:sz="4" w:space="0" w:color="auto"/>
            </w:tcBorders>
            <w:shd w:val="pct30" w:color="000000" w:fill="FFFFFF"/>
          </w:tcPr>
          <w:p w14:paraId="449444DE" w14:textId="77777777" w:rsidR="00DA1B6D" w:rsidRPr="008C0A5C" w:rsidRDefault="00DA1B6D">
            <w:pPr>
              <w:pStyle w:val="Heading5"/>
              <w:jc w:val="center"/>
              <w:rPr>
                <w:b/>
                <w:color w:val="FFFFFF"/>
                <w:sz w:val="18"/>
                <w:szCs w:val="18"/>
              </w:rPr>
            </w:pPr>
            <w:r w:rsidRPr="008C0A5C">
              <w:rPr>
                <w:b/>
                <w:color w:val="FFFFFF"/>
                <w:sz w:val="18"/>
                <w:szCs w:val="18"/>
              </w:rPr>
              <w:t>Correction Requested</w:t>
            </w:r>
          </w:p>
        </w:tc>
        <w:tc>
          <w:tcPr>
            <w:tcW w:w="1620" w:type="dxa"/>
            <w:tcBorders>
              <w:top w:val="single" w:sz="4" w:space="0" w:color="auto"/>
              <w:left w:val="single" w:sz="4" w:space="0" w:color="auto"/>
              <w:bottom w:val="double" w:sz="2" w:space="0" w:color="auto"/>
              <w:right w:val="single" w:sz="4" w:space="0" w:color="auto"/>
            </w:tcBorders>
            <w:shd w:val="pct30" w:color="000000" w:fill="FFFFFF"/>
          </w:tcPr>
          <w:p w14:paraId="0722CF92" w14:textId="77777777" w:rsidR="00DA1B6D" w:rsidRPr="008C0A5C" w:rsidRDefault="000A1549">
            <w:pPr>
              <w:pStyle w:val="Heading5"/>
              <w:jc w:val="center"/>
              <w:rPr>
                <w:b/>
                <w:color w:val="FFFFFF"/>
                <w:sz w:val="18"/>
                <w:szCs w:val="18"/>
              </w:rPr>
            </w:pPr>
            <w:r w:rsidRPr="008C0A5C">
              <w:rPr>
                <w:b/>
                <w:color w:val="FFFFFF"/>
                <w:sz w:val="18"/>
                <w:szCs w:val="18"/>
              </w:rPr>
              <w:t xml:space="preserve">Respond </w:t>
            </w:r>
          </w:p>
        </w:tc>
      </w:tr>
      <w:tr w:rsidR="007F1D76" w:rsidRPr="008C0A5C" w14:paraId="6006E06D" w14:textId="77777777" w:rsidTr="0054062C">
        <w:tc>
          <w:tcPr>
            <w:tcW w:w="720" w:type="dxa"/>
            <w:tcBorders>
              <w:top w:val="single" w:sz="2" w:space="0" w:color="auto"/>
              <w:left w:val="single" w:sz="2" w:space="0" w:color="auto"/>
              <w:bottom w:val="single" w:sz="2" w:space="0" w:color="auto"/>
              <w:right w:val="single" w:sz="2" w:space="0" w:color="auto"/>
            </w:tcBorders>
          </w:tcPr>
          <w:p w14:paraId="551AF848" w14:textId="77777777" w:rsidR="007F1D76" w:rsidRPr="008C0A5C" w:rsidRDefault="007F1D76">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06B3C823" w14:textId="77777777" w:rsidR="007F1D76" w:rsidRPr="008C0A5C" w:rsidRDefault="007F1D76">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A11A25C" w14:textId="77777777" w:rsidR="007F1D76" w:rsidRPr="008C0A5C" w:rsidRDefault="007F1D76">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518E6D60" w14:textId="77777777" w:rsidR="007F1D76" w:rsidRPr="008C0A5C" w:rsidRDefault="007F1D76">
            <w:pPr>
              <w:rPr>
                <w:sz w:val="18"/>
                <w:szCs w:val="18"/>
              </w:rPr>
            </w:pPr>
          </w:p>
        </w:tc>
      </w:tr>
      <w:tr w:rsidR="007C3F67" w:rsidRPr="000528C9" w14:paraId="76960B56" w14:textId="77777777" w:rsidTr="0054062C">
        <w:tc>
          <w:tcPr>
            <w:tcW w:w="720" w:type="dxa"/>
            <w:tcBorders>
              <w:top w:val="single" w:sz="2" w:space="0" w:color="auto"/>
              <w:left w:val="single" w:sz="2" w:space="0" w:color="auto"/>
              <w:bottom w:val="single" w:sz="2" w:space="0" w:color="auto"/>
              <w:right w:val="single" w:sz="2" w:space="0" w:color="auto"/>
            </w:tcBorders>
          </w:tcPr>
          <w:p w14:paraId="02DCACAA" w14:textId="77777777" w:rsidR="007C3F67" w:rsidRPr="000528C9" w:rsidRDefault="00D316C8">
            <w:pPr>
              <w:rPr>
                <w:sz w:val="18"/>
                <w:szCs w:val="18"/>
              </w:rPr>
            </w:pPr>
            <w:r w:rsidRPr="000528C9">
              <w:rPr>
                <w:sz w:val="18"/>
                <w:szCs w:val="18"/>
              </w:rPr>
              <w:t>1</w:t>
            </w:r>
          </w:p>
        </w:tc>
        <w:tc>
          <w:tcPr>
            <w:tcW w:w="810" w:type="dxa"/>
            <w:tcBorders>
              <w:top w:val="single" w:sz="2" w:space="0" w:color="auto"/>
              <w:left w:val="single" w:sz="2" w:space="0" w:color="auto"/>
              <w:bottom w:val="single" w:sz="2" w:space="0" w:color="auto"/>
              <w:right w:val="single" w:sz="2" w:space="0" w:color="auto"/>
            </w:tcBorders>
          </w:tcPr>
          <w:p w14:paraId="66D89AEC"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1EBC2D2D" w14:textId="77777777" w:rsidR="007C3F67" w:rsidRPr="000528C9" w:rsidRDefault="007C3F67">
            <w:pPr>
              <w:rPr>
                <w:sz w:val="18"/>
                <w:szCs w:val="18"/>
              </w:rPr>
            </w:pPr>
            <w:r w:rsidRPr="000528C9">
              <w:rPr>
                <w:sz w:val="18"/>
                <w:szCs w:val="18"/>
              </w:rPr>
              <w:t xml:space="preserve">Show the correct address of building on plans. </w:t>
            </w:r>
          </w:p>
        </w:tc>
        <w:tc>
          <w:tcPr>
            <w:tcW w:w="1620" w:type="dxa"/>
            <w:tcBorders>
              <w:top w:val="single" w:sz="2" w:space="0" w:color="auto"/>
              <w:left w:val="single" w:sz="2" w:space="0" w:color="auto"/>
              <w:bottom w:val="single" w:sz="2" w:space="0" w:color="auto"/>
              <w:right w:val="single" w:sz="2" w:space="0" w:color="auto"/>
            </w:tcBorders>
          </w:tcPr>
          <w:p w14:paraId="341DCEDF" w14:textId="77777777" w:rsidR="007C3F67" w:rsidRPr="000528C9" w:rsidRDefault="007C3F67">
            <w:pPr>
              <w:rPr>
                <w:sz w:val="18"/>
                <w:szCs w:val="18"/>
              </w:rPr>
            </w:pPr>
          </w:p>
        </w:tc>
      </w:tr>
      <w:tr w:rsidR="007C3F67" w:rsidRPr="000528C9" w14:paraId="63198949" w14:textId="77777777" w:rsidTr="0054062C">
        <w:tc>
          <w:tcPr>
            <w:tcW w:w="720" w:type="dxa"/>
            <w:tcBorders>
              <w:top w:val="single" w:sz="2" w:space="0" w:color="auto"/>
              <w:left w:val="single" w:sz="2" w:space="0" w:color="auto"/>
              <w:bottom w:val="single" w:sz="2" w:space="0" w:color="auto"/>
              <w:right w:val="single" w:sz="2" w:space="0" w:color="auto"/>
            </w:tcBorders>
          </w:tcPr>
          <w:p w14:paraId="753DE9A2" w14:textId="77777777" w:rsidR="007C3F67" w:rsidRPr="000528C9" w:rsidRDefault="00D316C8">
            <w:pPr>
              <w:rPr>
                <w:sz w:val="18"/>
                <w:szCs w:val="18"/>
              </w:rPr>
            </w:pPr>
            <w:r w:rsidRPr="000528C9">
              <w:rPr>
                <w:sz w:val="18"/>
                <w:szCs w:val="18"/>
              </w:rPr>
              <w:t>2</w:t>
            </w:r>
          </w:p>
        </w:tc>
        <w:tc>
          <w:tcPr>
            <w:tcW w:w="810" w:type="dxa"/>
            <w:tcBorders>
              <w:top w:val="single" w:sz="2" w:space="0" w:color="auto"/>
              <w:left w:val="single" w:sz="2" w:space="0" w:color="auto"/>
              <w:bottom w:val="single" w:sz="2" w:space="0" w:color="auto"/>
              <w:right w:val="single" w:sz="2" w:space="0" w:color="auto"/>
            </w:tcBorders>
          </w:tcPr>
          <w:p w14:paraId="6338F4BE"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1B1217D5" w14:textId="77777777" w:rsidR="007C3F67" w:rsidRPr="000528C9" w:rsidRDefault="007C3F67" w:rsidP="000D4B8B">
            <w:pPr>
              <w:rPr>
                <w:sz w:val="18"/>
                <w:szCs w:val="18"/>
              </w:rPr>
            </w:pPr>
            <w:r w:rsidRPr="000528C9">
              <w:rPr>
                <w:sz w:val="18"/>
                <w:szCs w:val="18"/>
              </w:rPr>
              <w:t xml:space="preserve">Show the name and address of the owner and person preparing the plan. </w:t>
            </w:r>
          </w:p>
        </w:tc>
        <w:tc>
          <w:tcPr>
            <w:tcW w:w="1620" w:type="dxa"/>
            <w:tcBorders>
              <w:top w:val="single" w:sz="2" w:space="0" w:color="auto"/>
              <w:left w:val="single" w:sz="2" w:space="0" w:color="auto"/>
              <w:bottom w:val="single" w:sz="2" w:space="0" w:color="auto"/>
              <w:right w:val="single" w:sz="2" w:space="0" w:color="auto"/>
            </w:tcBorders>
          </w:tcPr>
          <w:p w14:paraId="2029150E" w14:textId="77777777" w:rsidR="007C3F67" w:rsidRPr="000528C9" w:rsidRDefault="007C3F67">
            <w:pPr>
              <w:rPr>
                <w:sz w:val="18"/>
                <w:szCs w:val="18"/>
              </w:rPr>
            </w:pPr>
          </w:p>
        </w:tc>
      </w:tr>
      <w:tr w:rsidR="007C3F67" w:rsidRPr="000528C9" w14:paraId="16C3F1A9" w14:textId="77777777" w:rsidTr="0054062C">
        <w:tc>
          <w:tcPr>
            <w:tcW w:w="720" w:type="dxa"/>
            <w:tcBorders>
              <w:top w:val="single" w:sz="2" w:space="0" w:color="auto"/>
              <w:left w:val="single" w:sz="2" w:space="0" w:color="auto"/>
              <w:bottom w:val="single" w:sz="2" w:space="0" w:color="auto"/>
              <w:right w:val="single" w:sz="2" w:space="0" w:color="auto"/>
            </w:tcBorders>
          </w:tcPr>
          <w:p w14:paraId="65B48F22" w14:textId="77777777" w:rsidR="007C3F67" w:rsidRPr="000528C9" w:rsidRDefault="00D316C8">
            <w:pPr>
              <w:rPr>
                <w:sz w:val="18"/>
                <w:szCs w:val="18"/>
              </w:rPr>
            </w:pPr>
            <w:r w:rsidRPr="000528C9">
              <w:rPr>
                <w:sz w:val="18"/>
                <w:szCs w:val="18"/>
              </w:rPr>
              <w:t>3</w:t>
            </w:r>
          </w:p>
        </w:tc>
        <w:tc>
          <w:tcPr>
            <w:tcW w:w="810" w:type="dxa"/>
            <w:tcBorders>
              <w:top w:val="single" w:sz="2" w:space="0" w:color="auto"/>
              <w:left w:val="single" w:sz="2" w:space="0" w:color="auto"/>
              <w:bottom w:val="single" w:sz="2" w:space="0" w:color="auto"/>
              <w:right w:val="single" w:sz="2" w:space="0" w:color="auto"/>
            </w:tcBorders>
          </w:tcPr>
          <w:p w14:paraId="5AE3EE7B"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540CA6F" w14:textId="77777777" w:rsidR="007C3F67" w:rsidRPr="000528C9" w:rsidRDefault="007C3F67" w:rsidP="00207245">
            <w:pPr>
              <w:rPr>
                <w:sz w:val="18"/>
                <w:szCs w:val="18"/>
              </w:rPr>
            </w:pPr>
            <w:r w:rsidRPr="000528C9">
              <w:rPr>
                <w:sz w:val="18"/>
                <w:szCs w:val="18"/>
              </w:rPr>
              <w:t>Indicate on plan the applicable current codes:</w:t>
            </w:r>
          </w:p>
          <w:p w14:paraId="51A2F7CA" w14:textId="6B70D1D0" w:rsidR="007C3F67" w:rsidRPr="000528C9" w:rsidRDefault="00DD590C">
            <w:pPr>
              <w:pStyle w:val="ListParagraph"/>
              <w:numPr>
                <w:ilvl w:val="0"/>
                <w:numId w:val="7"/>
              </w:numPr>
              <w:rPr>
                <w:sz w:val="18"/>
                <w:szCs w:val="18"/>
              </w:rPr>
            </w:pPr>
            <w:r w:rsidRPr="000528C9">
              <w:rPr>
                <w:sz w:val="18"/>
                <w:szCs w:val="18"/>
              </w:rPr>
              <w:t>20</w:t>
            </w:r>
            <w:r w:rsidR="00BE4BD1" w:rsidRPr="000528C9">
              <w:rPr>
                <w:sz w:val="18"/>
                <w:szCs w:val="18"/>
              </w:rPr>
              <w:t>22</w:t>
            </w:r>
            <w:r w:rsidR="007C3F67" w:rsidRPr="000528C9">
              <w:rPr>
                <w:sz w:val="18"/>
                <w:szCs w:val="18"/>
              </w:rPr>
              <w:t xml:space="preserve"> </w:t>
            </w:r>
            <w:r w:rsidR="00B73678" w:rsidRPr="000528C9">
              <w:rPr>
                <w:sz w:val="18"/>
                <w:szCs w:val="18"/>
              </w:rPr>
              <w:t>California Green Building Standards Code (</w:t>
            </w:r>
            <w:r w:rsidR="007C3F67" w:rsidRPr="000528C9">
              <w:rPr>
                <w:i/>
                <w:sz w:val="18"/>
                <w:szCs w:val="18"/>
              </w:rPr>
              <w:t>C</w:t>
            </w:r>
            <w:r w:rsidR="00B73678" w:rsidRPr="000528C9">
              <w:rPr>
                <w:i/>
                <w:sz w:val="18"/>
                <w:szCs w:val="18"/>
              </w:rPr>
              <w:t>AL</w:t>
            </w:r>
            <w:r w:rsidR="007C3F67" w:rsidRPr="000528C9">
              <w:rPr>
                <w:i/>
                <w:sz w:val="18"/>
                <w:szCs w:val="18"/>
              </w:rPr>
              <w:t>Green</w:t>
            </w:r>
            <w:r w:rsidR="00B73678" w:rsidRPr="000528C9">
              <w:rPr>
                <w:sz w:val="18"/>
                <w:szCs w:val="18"/>
              </w:rPr>
              <w:t>)</w:t>
            </w:r>
            <w:r w:rsidR="009E1206" w:rsidRPr="000528C9">
              <w:rPr>
                <w:sz w:val="18"/>
                <w:szCs w:val="18"/>
              </w:rPr>
              <w:t xml:space="preserve"> </w:t>
            </w:r>
            <w:r w:rsidR="00044CC4">
              <w:rPr>
                <w:sz w:val="18"/>
                <w:szCs w:val="18"/>
              </w:rPr>
              <w:t>with supplement effective July 1, 2024</w:t>
            </w:r>
          </w:p>
          <w:p w14:paraId="7408D6C6" w14:textId="561A3764" w:rsidR="007C3F67" w:rsidRPr="000528C9" w:rsidRDefault="00DD590C">
            <w:pPr>
              <w:pStyle w:val="ListParagraph"/>
              <w:numPr>
                <w:ilvl w:val="0"/>
                <w:numId w:val="7"/>
              </w:numPr>
              <w:rPr>
                <w:sz w:val="18"/>
                <w:szCs w:val="18"/>
              </w:rPr>
            </w:pPr>
            <w:r w:rsidRPr="000528C9">
              <w:rPr>
                <w:sz w:val="18"/>
                <w:szCs w:val="18"/>
              </w:rPr>
              <w:t>20</w:t>
            </w:r>
            <w:r w:rsidR="00BE4BD1" w:rsidRPr="000528C9">
              <w:rPr>
                <w:sz w:val="18"/>
                <w:szCs w:val="18"/>
              </w:rPr>
              <w:t>22</w:t>
            </w:r>
            <w:r w:rsidR="0054062C" w:rsidRPr="000528C9">
              <w:rPr>
                <w:sz w:val="18"/>
                <w:szCs w:val="18"/>
              </w:rPr>
              <w:t xml:space="preserve"> California Energy Code</w:t>
            </w:r>
          </w:p>
        </w:tc>
        <w:tc>
          <w:tcPr>
            <w:tcW w:w="1620" w:type="dxa"/>
            <w:tcBorders>
              <w:top w:val="single" w:sz="2" w:space="0" w:color="auto"/>
              <w:left w:val="single" w:sz="2" w:space="0" w:color="auto"/>
              <w:bottom w:val="single" w:sz="2" w:space="0" w:color="auto"/>
              <w:right w:val="single" w:sz="2" w:space="0" w:color="auto"/>
            </w:tcBorders>
          </w:tcPr>
          <w:p w14:paraId="12245455" w14:textId="77777777" w:rsidR="007C3F67" w:rsidRPr="000528C9" w:rsidRDefault="007C3F67">
            <w:pPr>
              <w:rPr>
                <w:sz w:val="18"/>
                <w:szCs w:val="18"/>
              </w:rPr>
            </w:pPr>
          </w:p>
        </w:tc>
      </w:tr>
      <w:tr w:rsidR="007C3F67" w:rsidRPr="000528C9" w14:paraId="48F9E261" w14:textId="77777777" w:rsidTr="0054062C">
        <w:tc>
          <w:tcPr>
            <w:tcW w:w="720" w:type="dxa"/>
            <w:tcBorders>
              <w:top w:val="single" w:sz="2" w:space="0" w:color="auto"/>
              <w:left w:val="single" w:sz="2" w:space="0" w:color="auto"/>
              <w:bottom w:val="single" w:sz="2" w:space="0" w:color="auto"/>
              <w:right w:val="single" w:sz="2" w:space="0" w:color="auto"/>
            </w:tcBorders>
          </w:tcPr>
          <w:p w14:paraId="761A9D62" w14:textId="77777777" w:rsidR="007C3F67" w:rsidRPr="000528C9" w:rsidRDefault="00D316C8">
            <w:pPr>
              <w:rPr>
                <w:sz w:val="18"/>
                <w:szCs w:val="18"/>
              </w:rPr>
            </w:pPr>
            <w:r w:rsidRPr="000528C9">
              <w:rPr>
                <w:sz w:val="18"/>
                <w:szCs w:val="18"/>
              </w:rPr>
              <w:t>4</w:t>
            </w:r>
          </w:p>
        </w:tc>
        <w:tc>
          <w:tcPr>
            <w:tcW w:w="810" w:type="dxa"/>
            <w:tcBorders>
              <w:top w:val="single" w:sz="2" w:space="0" w:color="auto"/>
              <w:left w:val="single" w:sz="2" w:space="0" w:color="auto"/>
              <w:bottom w:val="single" w:sz="2" w:space="0" w:color="auto"/>
              <w:right w:val="single" w:sz="2" w:space="0" w:color="auto"/>
            </w:tcBorders>
          </w:tcPr>
          <w:p w14:paraId="7614B342"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132DD228" w14:textId="77777777" w:rsidR="007C3F67" w:rsidRPr="000528C9" w:rsidRDefault="005A1E1A" w:rsidP="00A11124">
            <w:pPr>
              <w:rPr>
                <w:sz w:val="18"/>
                <w:szCs w:val="18"/>
              </w:rPr>
            </w:pPr>
            <w:r w:rsidRPr="000528C9">
              <w:rPr>
                <w:sz w:val="18"/>
                <w:szCs w:val="18"/>
              </w:rPr>
              <w:t>Provide an index of drawings on the cover sheet of plans.</w:t>
            </w:r>
          </w:p>
        </w:tc>
        <w:tc>
          <w:tcPr>
            <w:tcW w:w="1620" w:type="dxa"/>
            <w:tcBorders>
              <w:top w:val="single" w:sz="2" w:space="0" w:color="auto"/>
              <w:left w:val="single" w:sz="2" w:space="0" w:color="auto"/>
              <w:bottom w:val="single" w:sz="2" w:space="0" w:color="auto"/>
              <w:right w:val="single" w:sz="2" w:space="0" w:color="auto"/>
            </w:tcBorders>
          </w:tcPr>
          <w:p w14:paraId="5FE400A7" w14:textId="77777777" w:rsidR="007C3F67" w:rsidRPr="000528C9" w:rsidRDefault="007C3F67">
            <w:pPr>
              <w:rPr>
                <w:sz w:val="18"/>
                <w:szCs w:val="18"/>
              </w:rPr>
            </w:pPr>
          </w:p>
        </w:tc>
      </w:tr>
      <w:tr w:rsidR="007C3F67" w:rsidRPr="000528C9" w14:paraId="4BD2533E" w14:textId="77777777" w:rsidTr="0054062C">
        <w:tc>
          <w:tcPr>
            <w:tcW w:w="720" w:type="dxa"/>
            <w:tcBorders>
              <w:top w:val="single" w:sz="2" w:space="0" w:color="auto"/>
              <w:left w:val="single" w:sz="2" w:space="0" w:color="auto"/>
              <w:bottom w:val="single" w:sz="2" w:space="0" w:color="auto"/>
              <w:right w:val="single" w:sz="2" w:space="0" w:color="auto"/>
            </w:tcBorders>
          </w:tcPr>
          <w:p w14:paraId="356E89AB" w14:textId="77777777" w:rsidR="007C3F67" w:rsidRPr="000528C9" w:rsidRDefault="00D316C8">
            <w:pPr>
              <w:rPr>
                <w:sz w:val="18"/>
                <w:szCs w:val="18"/>
              </w:rPr>
            </w:pPr>
            <w:r w:rsidRPr="000528C9">
              <w:rPr>
                <w:sz w:val="18"/>
                <w:szCs w:val="18"/>
              </w:rPr>
              <w:t>5</w:t>
            </w:r>
          </w:p>
        </w:tc>
        <w:tc>
          <w:tcPr>
            <w:tcW w:w="810" w:type="dxa"/>
            <w:tcBorders>
              <w:top w:val="single" w:sz="2" w:space="0" w:color="auto"/>
              <w:left w:val="single" w:sz="2" w:space="0" w:color="auto"/>
              <w:bottom w:val="single" w:sz="2" w:space="0" w:color="auto"/>
              <w:right w:val="single" w:sz="2" w:space="0" w:color="auto"/>
            </w:tcBorders>
          </w:tcPr>
          <w:p w14:paraId="6CA42435"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00E0335" w14:textId="33DBEAE1" w:rsidR="007836C9" w:rsidRPr="000528C9" w:rsidRDefault="005A1E1A" w:rsidP="00F94CC1">
            <w:pPr>
              <w:rPr>
                <w:sz w:val="18"/>
                <w:szCs w:val="18"/>
              </w:rPr>
            </w:pPr>
            <w:r w:rsidRPr="000528C9">
              <w:rPr>
                <w:sz w:val="18"/>
                <w:szCs w:val="18"/>
              </w:rPr>
              <w:t xml:space="preserve">Every newly constructed </w:t>
            </w:r>
            <w:r w:rsidR="0083561C" w:rsidRPr="000528C9">
              <w:rPr>
                <w:sz w:val="18"/>
                <w:szCs w:val="18"/>
              </w:rPr>
              <w:t>low-rise residential building</w:t>
            </w:r>
            <w:r w:rsidR="000D5EA6" w:rsidRPr="000528C9">
              <w:rPr>
                <w:sz w:val="18"/>
                <w:szCs w:val="18"/>
              </w:rPr>
              <w:t xml:space="preserve"> (3 stories or less Occupancy Group R</w:t>
            </w:r>
            <w:r w:rsidR="0054062C" w:rsidRPr="000528C9">
              <w:rPr>
                <w:sz w:val="18"/>
                <w:szCs w:val="18"/>
              </w:rPr>
              <w:t xml:space="preserve">) </w:t>
            </w:r>
            <w:r w:rsidR="007836C9" w:rsidRPr="000528C9">
              <w:rPr>
                <w:sz w:val="18"/>
                <w:szCs w:val="18"/>
              </w:rPr>
              <w:t xml:space="preserve">or high-rise residential building </w:t>
            </w:r>
            <w:r w:rsidR="000D5EA6" w:rsidRPr="000528C9">
              <w:rPr>
                <w:sz w:val="18"/>
                <w:szCs w:val="18"/>
              </w:rPr>
              <w:t xml:space="preserve">(4 stories or greater Occupancy Group R) </w:t>
            </w:r>
            <w:r w:rsidR="00EC3FE3" w:rsidRPr="000528C9">
              <w:rPr>
                <w:sz w:val="18"/>
                <w:szCs w:val="18"/>
              </w:rPr>
              <w:t>must show compliance with 20</w:t>
            </w:r>
            <w:r w:rsidR="00440F90" w:rsidRPr="000528C9">
              <w:rPr>
                <w:sz w:val="18"/>
                <w:szCs w:val="18"/>
              </w:rPr>
              <w:t>22</w:t>
            </w:r>
            <w:r w:rsidR="00F94CC1" w:rsidRPr="000528C9">
              <w:rPr>
                <w:i/>
                <w:sz w:val="18"/>
                <w:szCs w:val="18"/>
              </w:rPr>
              <w:t xml:space="preserve"> CAL</w:t>
            </w:r>
            <w:r w:rsidRPr="000528C9">
              <w:rPr>
                <w:i/>
                <w:sz w:val="18"/>
                <w:szCs w:val="18"/>
              </w:rPr>
              <w:t>Green</w:t>
            </w:r>
            <w:r w:rsidR="004D29F9" w:rsidRPr="000528C9">
              <w:rPr>
                <w:sz w:val="18"/>
                <w:szCs w:val="18"/>
              </w:rPr>
              <w:t xml:space="preserve"> [101.3</w:t>
            </w:r>
            <w:r w:rsidR="00EC0237" w:rsidRPr="000528C9">
              <w:rPr>
                <w:sz w:val="18"/>
                <w:szCs w:val="18"/>
              </w:rPr>
              <w:t>,</w:t>
            </w:r>
            <w:r w:rsidR="007836C9" w:rsidRPr="000528C9">
              <w:rPr>
                <w:sz w:val="18"/>
                <w:szCs w:val="18"/>
              </w:rPr>
              <w:t xml:space="preserve"> 3</w:t>
            </w:r>
            <w:r w:rsidR="0083561C" w:rsidRPr="000528C9">
              <w:rPr>
                <w:sz w:val="18"/>
                <w:szCs w:val="18"/>
              </w:rPr>
              <w:t>0</w:t>
            </w:r>
            <w:r w:rsidR="007836C9" w:rsidRPr="000528C9">
              <w:rPr>
                <w:sz w:val="18"/>
                <w:szCs w:val="18"/>
              </w:rPr>
              <w:t>1.</w:t>
            </w:r>
            <w:r w:rsidR="0083561C" w:rsidRPr="000528C9">
              <w:rPr>
                <w:sz w:val="18"/>
                <w:szCs w:val="18"/>
              </w:rPr>
              <w:t>2</w:t>
            </w:r>
            <w:r w:rsidR="00EC0237" w:rsidRPr="000528C9">
              <w:rPr>
                <w:sz w:val="18"/>
                <w:szCs w:val="18"/>
              </w:rPr>
              <w:t>, and 202</w:t>
            </w:r>
            <w:r w:rsidR="004D29F9" w:rsidRPr="000528C9">
              <w:rPr>
                <w:sz w:val="18"/>
                <w:szCs w:val="18"/>
              </w:rPr>
              <w:t>]</w:t>
            </w:r>
            <w:r w:rsidRPr="000528C9">
              <w:rPr>
                <w:sz w:val="18"/>
                <w:szCs w:val="18"/>
              </w:rPr>
              <w:t>.</w:t>
            </w:r>
            <w:r w:rsidR="004D29F9" w:rsidRPr="000528C9">
              <w:rPr>
                <w:sz w:val="18"/>
                <w:szCs w:val="18"/>
              </w:rPr>
              <w:t xml:space="preserve"> </w:t>
            </w:r>
          </w:p>
          <w:p w14:paraId="649DEF21" w14:textId="77777777" w:rsidR="00796BEF" w:rsidRPr="000528C9" w:rsidRDefault="00796BEF" w:rsidP="00CC7D1D">
            <w:pPr>
              <w:rPr>
                <w:sz w:val="18"/>
                <w:szCs w:val="18"/>
              </w:rPr>
            </w:pPr>
            <w:r w:rsidRPr="000528C9">
              <w:rPr>
                <w:sz w:val="18"/>
                <w:szCs w:val="18"/>
              </w:rPr>
              <w:t>A</w:t>
            </w:r>
            <w:r w:rsidR="007836C9" w:rsidRPr="000528C9">
              <w:rPr>
                <w:sz w:val="18"/>
                <w:szCs w:val="18"/>
              </w:rPr>
              <w:t>ddition</w:t>
            </w:r>
            <w:r w:rsidR="00CC7D1D" w:rsidRPr="000528C9">
              <w:rPr>
                <w:sz w:val="18"/>
                <w:szCs w:val="18"/>
              </w:rPr>
              <w:t>s</w:t>
            </w:r>
            <w:r w:rsidR="007836C9" w:rsidRPr="000528C9">
              <w:rPr>
                <w:sz w:val="18"/>
                <w:szCs w:val="18"/>
              </w:rPr>
              <w:t xml:space="preserve"> or alteration</w:t>
            </w:r>
            <w:r w:rsidR="00CC7D1D" w:rsidRPr="000528C9">
              <w:rPr>
                <w:sz w:val="18"/>
                <w:szCs w:val="18"/>
              </w:rPr>
              <w:t>s</w:t>
            </w:r>
            <w:r w:rsidR="007836C9" w:rsidRPr="000528C9">
              <w:rPr>
                <w:sz w:val="18"/>
                <w:szCs w:val="18"/>
              </w:rPr>
              <w:t xml:space="preserve"> of existing residential buildings</w:t>
            </w:r>
            <w:r w:rsidRPr="000528C9">
              <w:rPr>
                <w:sz w:val="18"/>
                <w:szCs w:val="18"/>
              </w:rPr>
              <w:t xml:space="preserve"> also must comply with the mandatory provisions of chapter 4</w:t>
            </w:r>
            <w:r w:rsidR="00CC7D1D" w:rsidRPr="000528C9">
              <w:rPr>
                <w:sz w:val="18"/>
                <w:szCs w:val="18"/>
              </w:rPr>
              <w:t>. The requirements shall apply only to and/or within the specific area of the addition or alteration</w:t>
            </w:r>
            <w:r w:rsidRPr="000528C9">
              <w:rPr>
                <w:sz w:val="18"/>
                <w:szCs w:val="18"/>
              </w:rPr>
              <w:t xml:space="preserve"> [301.1.1]</w:t>
            </w:r>
            <w:r w:rsidR="00CC7D1D" w:rsidRPr="000528C9">
              <w:rPr>
                <w:sz w:val="18"/>
                <w:szCs w:val="18"/>
              </w:rPr>
              <w:t>.</w:t>
            </w:r>
            <w:r w:rsidR="005A1E1A" w:rsidRPr="000528C9">
              <w:rPr>
                <w:sz w:val="18"/>
                <w:szCs w:val="18"/>
              </w:rPr>
              <w:t xml:space="preserve"> </w:t>
            </w:r>
          </w:p>
          <w:p w14:paraId="19EBADF7" w14:textId="5F95E40F" w:rsidR="007C3F67" w:rsidRPr="000528C9" w:rsidRDefault="005A1E1A" w:rsidP="00796BEF">
            <w:pPr>
              <w:rPr>
                <w:sz w:val="18"/>
                <w:szCs w:val="18"/>
              </w:rPr>
            </w:pPr>
            <w:r w:rsidRPr="000528C9">
              <w:rPr>
                <w:sz w:val="18"/>
                <w:szCs w:val="18"/>
              </w:rPr>
              <w:t xml:space="preserve">Print on plan the </w:t>
            </w:r>
            <w:r w:rsidR="00AC4319" w:rsidRPr="000528C9">
              <w:rPr>
                <w:sz w:val="18"/>
                <w:szCs w:val="18"/>
              </w:rPr>
              <w:t xml:space="preserve">completed </w:t>
            </w:r>
            <w:r w:rsidRPr="000528C9">
              <w:rPr>
                <w:sz w:val="18"/>
                <w:szCs w:val="18"/>
              </w:rPr>
              <w:t>required mandatory measures</w:t>
            </w:r>
            <w:r w:rsidR="00796BEF" w:rsidRPr="000528C9">
              <w:rPr>
                <w:sz w:val="18"/>
                <w:szCs w:val="18"/>
              </w:rPr>
              <w:t>.</w:t>
            </w:r>
            <w:r w:rsidR="00CC7D1D" w:rsidRPr="000528C9">
              <w:rPr>
                <w:sz w:val="18"/>
                <w:szCs w:val="18"/>
              </w:rPr>
              <w:t xml:space="preserve"> </w:t>
            </w:r>
          </w:p>
        </w:tc>
        <w:tc>
          <w:tcPr>
            <w:tcW w:w="1620" w:type="dxa"/>
            <w:tcBorders>
              <w:top w:val="single" w:sz="2" w:space="0" w:color="auto"/>
              <w:left w:val="single" w:sz="2" w:space="0" w:color="auto"/>
              <w:bottom w:val="single" w:sz="2" w:space="0" w:color="auto"/>
              <w:right w:val="single" w:sz="2" w:space="0" w:color="auto"/>
            </w:tcBorders>
          </w:tcPr>
          <w:p w14:paraId="017DA291" w14:textId="77777777" w:rsidR="007C3F67" w:rsidRPr="000528C9" w:rsidRDefault="007C3F67">
            <w:pPr>
              <w:rPr>
                <w:sz w:val="18"/>
                <w:szCs w:val="18"/>
              </w:rPr>
            </w:pPr>
          </w:p>
        </w:tc>
      </w:tr>
      <w:tr w:rsidR="00646373" w:rsidRPr="000528C9" w14:paraId="4144E228" w14:textId="77777777" w:rsidTr="0054062C">
        <w:tc>
          <w:tcPr>
            <w:tcW w:w="720" w:type="dxa"/>
            <w:tcBorders>
              <w:top w:val="single" w:sz="2" w:space="0" w:color="auto"/>
              <w:left w:val="single" w:sz="2" w:space="0" w:color="auto"/>
              <w:bottom w:val="single" w:sz="2" w:space="0" w:color="auto"/>
              <w:right w:val="single" w:sz="2" w:space="0" w:color="auto"/>
            </w:tcBorders>
          </w:tcPr>
          <w:p w14:paraId="5ED03EB3" w14:textId="77777777" w:rsidR="00646373" w:rsidRPr="000528C9" w:rsidRDefault="00646373">
            <w:pPr>
              <w:rPr>
                <w:sz w:val="18"/>
                <w:szCs w:val="18"/>
              </w:rPr>
            </w:pPr>
            <w:r w:rsidRPr="000528C9">
              <w:rPr>
                <w:sz w:val="18"/>
                <w:szCs w:val="18"/>
              </w:rPr>
              <w:t>6</w:t>
            </w:r>
          </w:p>
        </w:tc>
        <w:tc>
          <w:tcPr>
            <w:tcW w:w="810" w:type="dxa"/>
            <w:tcBorders>
              <w:top w:val="single" w:sz="2" w:space="0" w:color="auto"/>
              <w:left w:val="single" w:sz="2" w:space="0" w:color="auto"/>
              <w:bottom w:val="single" w:sz="2" w:space="0" w:color="auto"/>
              <w:right w:val="single" w:sz="2" w:space="0" w:color="auto"/>
            </w:tcBorders>
          </w:tcPr>
          <w:p w14:paraId="760241C6" w14:textId="77777777" w:rsidR="00646373" w:rsidRPr="000528C9" w:rsidRDefault="0064637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FA24695" w14:textId="77777777" w:rsidR="00646373" w:rsidRPr="000528C9" w:rsidRDefault="00EF55BE" w:rsidP="002516D3">
            <w:pPr>
              <w:widowControl w:val="0"/>
              <w:rPr>
                <w:sz w:val="18"/>
                <w:szCs w:val="18"/>
              </w:rPr>
            </w:pPr>
            <w:r w:rsidRPr="000528C9">
              <w:rPr>
                <w:sz w:val="18"/>
                <w:szCs w:val="18"/>
              </w:rPr>
              <w:t>R</w:t>
            </w:r>
            <w:r w:rsidR="00646373" w:rsidRPr="000528C9">
              <w:rPr>
                <w:sz w:val="18"/>
                <w:szCs w:val="18"/>
              </w:rPr>
              <w:t>esidential buildings undergoing permitted alterations, additions, or improvement shall replace noncompliance plumbing fixtures with water-conserving plumbing fixtu</w:t>
            </w:r>
            <w:r w:rsidRPr="000528C9">
              <w:rPr>
                <w:sz w:val="18"/>
                <w:szCs w:val="18"/>
              </w:rPr>
              <w:t>res [4</w:t>
            </w:r>
            <w:r w:rsidR="00EC0237" w:rsidRPr="000528C9">
              <w:rPr>
                <w:sz w:val="18"/>
                <w:szCs w:val="18"/>
              </w:rPr>
              <w:t>.3</w:t>
            </w:r>
            <w:r w:rsidRPr="000528C9">
              <w:rPr>
                <w:sz w:val="18"/>
                <w:szCs w:val="18"/>
              </w:rPr>
              <w:t>03</w:t>
            </w:r>
            <w:r w:rsidR="00646373" w:rsidRPr="000528C9">
              <w:rPr>
                <w:sz w:val="18"/>
                <w:szCs w:val="18"/>
              </w:rPr>
              <w:t>.1 note]</w:t>
            </w:r>
          </w:p>
        </w:tc>
        <w:tc>
          <w:tcPr>
            <w:tcW w:w="1620" w:type="dxa"/>
            <w:tcBorders>
              <w:top w:val="single" w:sz="2" w:space="0" w:color="auto"/>
              <w:left w:val="single" w:sz="2" w:space="0" w:color="auto"/>
              <w:bottom w:val="single" w:sz="2" w:space="0" w:color="auto"/>
              <w:right w:val="single" w:sz="2" w:space="0" w:color="auto"/>
            </w:tcBorders>
          </w:tcPr>
          <w:p w14:paraId="1F7AB37F" w14:textId="77777777" w:rsidR="00646373" w:rsidRPr="000528C9" w:rsidRDefault="00646373">
            <w:pPr>
              <w:rPr>
                <w:sz w:val="18"/>
                <w:szCs w:val="18"/>
              </w:rPr>
            </w:pPr>
          </w:p>
        </w:tc>
      </w:tr>
      <w:tr w:rsidR="007C3F67" w:rsidRPr="000528C9" w14:paraId="7CD453D5" w14:textId="77777777" w:rsidTr="0054062C">
        <w:tc>
          <w:tcPr>
            <w:tcW w:w="720" w:type="dxa"/>
            <w:tcBorders>
              <w:top w:val="single" w:sz="2" w:space="0" w:color="auto"/>
              <w:left w:val="single" w:sz="2" w:space="0" w:color="auto"/>
              <w:bottom w:val="single" w:sz="2" w:space="0" w:color="auto"/>
              <w:right w:val="single" w:sz="2" w:space="0" w:color="auto"/>
            </w:tcBorders>
          </w:tcPr>
          <w:p w14:paraId="0AA4FC44" w14:textId="77777777" w:rsidR="007C3F67" w:rsidRPr="000528C9" w:rsidRDefault="00646373">
            <w:pPr>
              <w:rPr>
                <w:sz w:val="18"/>
                <w:szCs w:val="18"/>
              </w:rPr>
            </w:pPr>
            <w:r w:rsidRPr="000528C9">
              <w:rPr>
                <w:sz w:val="18"/>
                <w:szCs w:val="18"/>
              </w:rPr>
              <w:lastRenderedPageBreak/>
              <w:t>7</w:t>
            </w:r>
          </w:p>
        </w:tc>
        <w:tc>
          <w:tcPr>
            <w:tcW w:w="810" w:type="dxa"/>
            <w:tcBorders>
              <w:top w:val="single" w:sz="2" w:space="0" w:color="auto"/>
              <w:left w:val="single" w:sz="2" w:space="0" w:color="auto"/>
              <w:bottom w:val="single" w:sz="2" w:space="0" w:color="auto"/>
              <w:right w:val="single" w:sz="2" w:space="0" w:color="auto"/>
            </w:tcBorders>
          </w:tcPr>
          <w:p w14:paraId="766E671C"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4769609" w14:textId="77777777" w:rsidR="007C3F67" w:rsidRPr="000528C9" w:rsidRDefault="0012790C" w:rsidP="002516D3">
            <w:pPr>
              <w:widowControl w:val="0"/>
              <w:rPr>
                <w:sz w:val="18"/>
                <w:szCs w:val="18"/>
              </w:rPr>
            </w:pPr>
            <w:r w:rsidRPr="000528C9">
              <w:rPr>
                <w:sz w:val="18"/>
                <w:szCs w:val="18"/>
              </w:rPr>
              <w:t xml:space="preserve">Because of </w:t>
            </w:r>
            <w:r w:rsidR="002516D3" w:rsidRPr="000528C9">
              <w:rPr>
                <w:sz w:val="18"/>
                <w:szCs w:val="18"/>
              </w:rPr>
              <w:t>special conditions, the City may require</w:t>
            </w:r>
            <w:r w:rsidRPr="000528C9">
              <w:rPr>
                <w:sz w:val="18"/>
                <w:szCs w:val="18"/>
              </w:rPr>
              <w:t xml:space="preserve"> the construction documents to be prepared by a</w:t>
            </w:r>
            <w:r w:rsidR="004F7EF3" w:rsidRPr="000528C9">
              <w:rPr>
                <w:sz w:val="18"/>
                <w:szCs w:val="18"/>
              </w:rPr>
              <w:t xml:space="preserve"> licensed design professional. [</w:t>
            </w:r>
            <w:r w:rsidRPr="000528C9">
              <w:rPr>
                <w:sz w:val="18"/>
                <w:szCs w:val="18"/>
              </w:rPr>
              <w:t>102.1</w:t>
            </w:r>
            <w:r w:rsidR="004F7EF3"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54668A4B" w14:textId="77777777" w:rsidR="007C3F67" w:rsidRPr="000528C9" w:rsidRDefault="007C3F67">
            <w:pPr>
              <w:rPr>
                <w:sz w:val="18"/>
                <w:szCs w:val="18"/>
              </w:rPr>
            </w:pPr>
          </w:p>
        </w:tc>
      </w:tr>
      <w:tr w:rsidR="007C3F67" w:rsidRPr="000528C9" w14:paraId="12E2FE11" w14:textId="77777777" w:rsidTr="0054062C">
        <w:tc>
          <w:tcPr>
            <w:tcW w:w="720" w:type="dxa"/>
            <w:tcBorders>
              <w:top w:val="single" w:sz="2" w:space="0" w:color="auto"/>
              <w:left w:val="single" w:sz="2" w:space="0" w:color="auto"/>
              <w:bottom w:val="single" w:sz="2" w:space="0" w:color="auto"/>
              <w:right w:val="single" w:sz="2" w:space="0" w:color="auto"/>
            </w:tcBorders>
          </w:tcPr>
          <w:p w14:paraId="78A1047E" w14:textId="77777777" w:rsidR="007C3F67" w:rsidRPr="000528C9" w:rsidRDefault="00646373">
            <w:pPr>
              <w:rPr>
                <w:sz w:val="18"/>
                <w:szCs w:val="18"/>
              </w:rPr>
            </w:pPr>
            <w:r w:rsidRPr="000528C9">
              <w:rPr>
                <w:sz w:val="18"/>
                <w:szCs w:val="18"/>
              </w:rPr>
              <w:t>8</w:t>
            </w:r>
          </w:p>
        </w:tc>
        <w:tc>
          <w:tcPr>
            <w:tcW w:w="810" w:type="dxa"/>
            <w:tcBorders>
              <w:top w:val="single" w:sz="2" w:space="0" w:color="auto"/>
              <w:left w:val="single" w:sz="2" w:space="0" w:color="auto"/>
              <w:bottom w:val="single" w:sz="2" w:space="0" w:color="auto"/>
              <w:right w:val="single" w:sz="2" w:space="0" w:color="auto"/>
            </w:tcBorders>
          </w:tcPr>
          <w:p w14:paraId="54364830"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17C415D" w14:textId="77777777" w:rsidR="00A96D3A" w:rsidRPr="000528C9" w:rsidRDefault="0012790C" w:rsidP="00081EC3">
            <w:pPr>
              <w:rPr>
                <w:sz w:val="18"/>
                <w:szCs w:val="18"/>
              </w:rPr>
            </w:pPr>
            <w:r w:rsidRPr="000528C9">
              <w:rPr>
                <w:sz w:val="18"/>
                <w:szCs w:val="18"/>
              </w:rPr>
              <w:t xml:space="preserve">The construction documents shall </w:t>
            </w:r>
            <w:r w:rsidR="007E335B" w:rsidRPr="000528C9">
              <w:rPr>
                <w:sz w:val="18"/>
                <w:szCs w:val="18"/>
              </w:rPr>
              <w:t>provide sufficient clarit</w:t>
            </w:r>
            <w:r w:rsidRPr="000528C9">
              <w:rPr>
                <w:sz w:val="18"/>
                <w:szCs w:val="18"/>
              </w:rPr>
              <w:t>y to indicate the location, nature, and scope of the pro</w:t>
            </w:r>
            <w:r w:rsidR="00174379" w:rsidRPr="000528C9">
              <w:rPr>
                <w:sz w:val="18"/>
                <w:szCs w:val="18"/>
              </w:rPr>
              <w:t>posed green building features. [</w:t>
            </w:r>
            <w:r w:rsidRPr="000528C9">
              <w:rPr>
                <w:sz w:val="18"/>
                <w:szCs w:val="18"/>
              </w:rPr>
              <w:t>102.2</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56E46427" w14:textId="77777777" w:rsidR="007C3F67" w:rsidRPr="000528C9" w:rsidRDefault="007C3F67">
            <w:pPr>
              <w:rPr>
                <w:sz w:val="18"/>
                <w:szCs w:val="18"/>
              </w:rPr>
            </w:pPr>
          </w:p>
        </w:tc>
      </w:tr>
      <w:tr w:rsidR="007C3F67" w:rsidRPr="000528C9" w14:paraId="2EF648C6" w14:textId="77777777" w:rsidTr="0054062C">
        <w:tc>
          <w:tcPr>
            <w:tcW w:w="720" w:type="dxa"/>
            <w:tcBorders>
              <w:top w:val="single" w:sz="2" w:space="0" w:color="auto"/>
              <w:left w:val="single" w:sz="2" w:space="0" w:color="auto"/>
              <w:bottom w:val="single" w:sz="2" w:space="0" w:color="auto"/>
              <w:right w:val="single" w:sz="2" w:space="0" w:color="auto"/>
            </w:tcBorders>
          </w:tcPr>
          <w:p w14:paraId="29399A1C" w14:textId="77777777" w:rsidR="007C3F67" w:rsidRPr="000528C9" w:rsidRDefault="00646373">
            <w:pPr>
              <w:rPr>
                <w:sz w:val="18"/>
                <w:szCs w:val="18"/>
              </w:rPr>
            </w:pPr>
            <w:r w:rsidRPr="000528C9">
              <w:rPr>
                <w:sz w:val="18"/>
                <w:szCs w:val="18"/>
              </w:rPr>
              <w:t>9</w:t>
            </w:r>
          </w:p>
        </w:tc>
        <w:tc>
          <w:tcPr>
            <w:tcW w:w="810" w:type="dxa"/>
            <w:tcBorders>
              <w:top w:val="single" w:sz="2" w:space="0" w:color="auto"/>
              <w:left w:val="single" w:sz="2" w:space="0" w:color="auto"/>
              <w:bottom w:val="single" w:sz="2" w:space="0" w:color="auto"/>
              <w:right w:val="single" w:sz="2" w:space="0" w:color="auto"/>
            </w:tcBorders>
          </w:tcPr>
          <w:p w14:paraId="21D9E609" w14:textId="77777777" w:rsidR="007C3F67" w:rsidRPr="000528C9" w:rsidRDefault="007C3F67">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F5AB425" w14:textId="77777777" w:rsidR="007C3F67" w:rsidRPr="000528C9" w:rsidRDefault="0012790C" w:rsidP="007C3BDD">
            <w:pPr>
              <w:rPr>
                <w:sz w:val="18"/>
                <w:szCs w:val="18"/>
              </w:rPr>
            </w:pPr>
            <w:r w:rsidRPr="000528C9">
              <w:rPr>
                <w:sz w:val="18"/>
                <w:szCs w:val="18"/>
              </w:rPr>
              <w:t xml:space="preserve">Plans shall indicate method of verification of compliance with all </w:t>
            </w:r>
            <w:r w:rsidRPr="000528C9">
              <w:rPr>
                <w:i/>
                <w:sz w:val="18"/>
                <w:szCs w:val="18"/>
              </w:rPr>
              <w:t>CALGree</w:t>
            </w:r>
            <w:r w:rsidRPr="000528C9">
              <w:rPr>
                <w:sz w:val="18"/>
                <w:szCs w:val="18"/>
              </w:rPr>
              <w:t>n requirements</w:t>
            </w:r>
            <w:r w:rsidR="007836C9" w:rsidRPr="000528C9">
              <w:rPr>
                <w:sz w:val="18"/>
                <w:szCs w:val="18"/>
              </w:rPr>
              <w:t xml:space="preserve"> [102.3]</w:t>
            </w:r>
            <w:r w:rsidRPr="000528C9">
              <w:rPr>
                <w:sz w:val="18"/>
                <w:szCs w:val="18"/>
              </w:rPr>
              <w:t xml:space="preserve">.  Third party or other methods shall demonstrate satisfactory conformance with mandatory measures.  </w:t>
            </w:r>
            <w:r w:rsidRPr="000528C9">
              <w:rPr>
                <w:b/>
                <w:sz w:val="18"/>
                <w:szCs w:val="18"/>
              </w:rPr>
              <w:t>Include City’s Man</w:t>
            </w:r>
            <w:r w:rsidR="00DE5081" w:rsidRPr="000528C9">
              <w:rPr>
                <w:b/>
                <w:sz w:val="18"/>
                <w:szCs w:val="18"/>
              </w:rPr>
              <w:t>datory Measures Checklist copied</w:t>
            </w:r>
            <w:r w:rsidRPr="000528C9">
              <w:rPr>
                <w:b/>
                <w:sz w:val="18"/>
                <w:szCs w:val="18"/>
              </w:rPr>
              <w:t xml:space="preserve"> onto plans.</w:t>
            </w:r>
          </w:p>
        </w:tc>
        <w:tc>
          <w:tcPr>
            <w:tcW w:w="1620" w:type="dxa"/>
            <w:tcBorders>
              <w:top w:val="single" w:sz="2" w:space="0" w:color="auto"/>
              <w:left w:val="single" w:sz="2" w:space="0" w:color="auto"/>
              <w:bottom w:val="single" w:sz="2" w:space="0" w:color="auto"/>
              <w:right w:val="single" w:sz="2" w:space="0" w:color="auto"/>
            </w:tcBorders>
          </w:tcPr>
          <w:p w14:paraId="15BDD738" w14:textId="77777777" w:rsidR="007C3F67" w:rsidRPr="000528C9" w:rsidRDefault="007C3F67">
            <w:pPr>
              <w:rPr>
                <w:sz w:val="18"/>
                <w:szCs w:val="18"/>
              </w:rPr>
            </w:pPr>
          </w:p>
        </w:tc>
      </w:tr>
      <w:tr w:rsidR="0012790C" w:rsidRPr="000528C9" w14:paraId="21C2111B" w14:textId="77777777" w:rsidTr="0054062C">
        <w:tc>
          <w:tcPr>
            <w:tcW w:w="720" w:type="dxa"/>
            <w:tcBorders>
              <w:top w:val="single" w:sz="2" w:space="0" w:color="auto"/>
              <w:left w:val="single" w:sz="2" w:space="0" w:color="auto"/>
              <w:bottom w:val="single" w:sz="2" w:space="0" w:color="auto"/>
              <w:right w:val="single" w:sz="2" w:space="0" w:color="auto"/>
            </w:tcBorders>
          </w:tcPr>
          <w:p w14:paraId="3952AE12" w14:textId="77777777" w:rsidR="0012790C" w:rsidRPr="000528C9" w:rsidRDefault="00646373">
            <w:pPr>
              <w:rPr>
                <w:sz w:val="18"/>
                <w:szCs w:val="18"/>
              </w:rPr>
            </w:pPr>
            <w:r w:rsidRPr="000528C9">
              <w:rPr>
                <w:sz w:val="18"/>
                <w:szCs w:val="18"/>
              </w:rPr>
              <w:t>10</w:t>
            </w:r>
          </w:p>
        </w:tc>
        <w:tc>
          <w:tcPr>
            <w:tcW w:w="810" w:type="dxa"/>
            <w:tcBorders>
              <w:top w:val="single" w:sz="2" w:space="0" w:color="auto"/>
              <w:left w:val="single" w:sz="2" w:space="0" w:color="auto"/>
              <w:bottom w:val="single" w:sz="2" w:space="0" w:color="auto"/>
              <w:right w:val="single" w:sz="2" w:space="0" w:color="auto"/>
            </w:tcBorders>
          </w:tcPr>
          <w:p w14:paraId="33ECAFB9"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1A1E151D" w14:textId="77777777" w:rsidR="0012790C" w:rsidRPr="000528C9" w:rsidRDefault="003748A3">
            <w:pPr>
              <w:rPr>
                <w:sz w:val="18"/>
                <w:szCs w:val="18"/>
              </w:rPr>
            </w:pPr>
            <w:r w:rsidRPr="000528C9">
              <w:rPr>
                <w:sz w:val="18"/>
                <w:szCs w:val="18"/>
              </w:rPr>
              <w:t>In mixed occupancy buildings, each portion of a building shall comply with the specific green building measures applicable to each specific occupancy</w:t>
            </w:r>
            <w:r w:rsidR="00646373" w:rsidRPr="000528C9">
              <w:rPr>
                <w:sz w:val="18"/>
                <w:szCs w:val="18"/>
              </w:rPr>
              <w:t xml:space="preserve"> [302.1]</w:t>
            </w:r>
            <w:r w:rsidRPr="000528C9">
              <w:rPr>
                <w:sz w:val="18"/>
                <w:szCs w:val="18"/>
              </w:rPr>
              <w:t>.</w:t>
            </w:r>
            <w:r w:rsidR="00DE5081" w:rsidRPr="000528C9">
              <w:rPr>
                <w:sz w:val="18"/>
                <w:szCs w:val="18"/>
              </w:rPr>
              <w:t xml:space="preserve"> Exceptions:</w:t>
            </w:r>
          </w:p>
          <w:p w14:paraId="0F1CC943" w14:textId="77777777" w:rsidR="00DE5081" w:rsidRPr="000528C9" w:rsidRDefault="00DE5081">
            <w:pPr>
              <w:pStyle w:val="ListParagraph"/>
              <w:numPr>
                <w:ilvl w:val="0"/>
                <w:numId w:val="12"/>
              </w:numPr>
              <w:rPr>
                <w:sz w:val="18"/>
                <w:szCs w:val="18"/>
              </w:rPr>
            </w:pPr>
            <w:r w:rsidRPr="000528C9">
              <w:rPr>
                <w:sz w:val="18"/>
                <w:szCs w:val="18"/>
              </w:rPr>
              <w:t>Accessory structures and accessory occupancies serving residential buildings shall comply with Chapter 4 as applicable.</w:t>
            </w:r>
          </w:p>
          <w:p w14:paraId="3F975BCA" w14:textId="77777777" w:rsidR="00DE5081" w:rsidRDefault="00DE5081">
            <w:pPr>
              <w:pStyle w:val="ListParagraph"/>
              <w:numPr>
                <w:ilvl w:val="0"/>
                <w:numId w:val="12"/>
              </w:numPr>
              <w:rPr>
                <w:sz w:val="18"/>
                <w:szCs w:val="18"/>
              </w:rPr>
            </w:pPr>
            <w:r w:rsidRPr="000528C9">
              <w:rPr>
                <w:sz w:val="18"/>
                <w:szCs w:val="18"/>
              </w:rPr>
              <w:t>Live/work units shall comply with Chapter 4 as applicable.</w:t>
            </w:r>
          </w:p>
          <w:p w14:paraId="5E61CD01" w14:textId="77777777" w:rsidR="00255268" w:rsidRPr="000528C9" w:rsidRDefault="00255268" w:rsidP="00255268">
            <w:pPr>
              <w:pStyle w:val="ListParagraph"/>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69028C02" w14:textId="77777777" w:rsidR="0012790C" w:rsidRPr="000528C9" w:rsidRDefault="0012790C">
            <w:pPr>
              <w:rPr>
                <w:sz w:val="18"/>
                <w:szCs w:val="18"/>
              </w:rPr>
            </w:pPr>
          </w:p>
        </w:tc>
      </w:tr>
      <w:tr w:rsidR="0012790C" w:rsidRPr="000528C9" w14:paraId="63D8C947" w14:textId="77777777" w:rsidTr="0054062C">
        <w:tc>
          <w:tcPr>
            <w:tcW w:w="720" w:type="dxa"/>
            <w:tcBorders>
              <w:top w:val="single" w:sz="2" w:space="0" w:color="auto"/>
              <w:left w:val="single" w:sz="2" w:space="0" w:color="auto"/>
              <w:bottom w:val="single" w:sz="2" w:space="0" w:color="auto"/>
              <w:right w:val="single" w:sz="2" w:space="0" w:color="auto"/>
            </w:tcBorders>
          </w:tcPr>
          <w:p w14:paraId="2D16ED43" w14:textId="77777777" w:rsidR="0012790C" w:rsidRPr="000528C9" w:rsidRDefault="00D316C8">
            <w:pPr>
              <w:rPr>
                <w:sz w:val="18"/>
                <w:szCs w:val="18"/>
              </w:rPr>
            </w:pPr>
            <w:r w:rsidRPr="000528C9">
              <w:rPr>
                <w:sz w:val="18"/>
                <w:szCs w:val="18"/>
              </w:rPr>
              <w:t>1</w:t>
            </w:r>
            <w:r w:rsidR="00646373" w:rsidRPr="000528C9">
              <w:rPr>
                <w:sz w:val="18"/>
                <w:szCs w:val="18"/>
              </w:rPr>
              <w:t>1</w:t>
            </w:r>
          </w:p>
        </w:tc>
        <w:tc>
          <w:tcPr>
            <w:tcW w:w="810" w:type="dxa"/>
            <w:tcBorders>
              <w:top w:val="single" w:sz="2" w:space="0" w:color="auto"/>
              <w:left w:val="single" w:sz="2" w:space="0" w:color="auto"/>
              <w:bottom w:val="single" w:sz="2" w:space="0" w:color="auto"/>
              <w:right w:val="single" w:sz="2" w:space="0" w:color="auto"/>
            </w:tcBorders>
          </w:tcPr>
          <w:p w14:paraId="6398DC82"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A5057C4" w14:textId="77777777" w:rsidR="003748A3" w:rsidRPr="000528C9" w:rsidRDefault="003748A3" w:rsidP="003748A3">
            <w:pPr>
              <w:widowControl w:val="0"/>
              <w:ind w:left="720" w:hanging="720"/>
              <w:rPr>
                <w:b/>
                <w:sz w:val="18"/>
                <w:szCs w:val="18"/>
              </w:rPr>
            </w:pPr>
            <w:r w:rsidRPr="000528C9">
              <w:rPr>
                <w:b/>
                <w:sz w:val="18"/>
                <w:szCs w:val="18"/>
              </w:rPr>
              <w:t>Storm Water Drainage and Retention</w:t>
            </w:r>
            <w:r w:rsidR="00B73678" w:rsidRPr="000528C9">
              <w:rPr>
                <w:b/>
                <w:sz w:val="18"/>
                <w:szCs w:val="18"/>
              </w:rPr>
              <w:t xml:space="preserve"> </w:t>
            </w:r>
            <w:r w:rsidR="00E01357" w:rsidRPr="000528C9">
              <w:rPr>
                <w:b/>
                <w:sz w:val="18"/>
                <w:szCs w:val="18"/>
              </w:rPr>
              <w:t>During C</w:t>
            </w:r>
            <w:r w:rsidR="00746D2E" w:rsidRPr="000528C9">
              <w:rPr>
                <w:b/>
                <w:sz w:val="18"/>
                <w:szCs w:val="18"/>
              </w:rPr>
              <w:t>onstruction</w:t>
            </w:r>
            <w:r w:rsidR="00B73678" w:rsidRPr="000528C9">
              <w:rPr>
                <w:sz w:val="18"/>
                <w:szCs w:val="18"/>
              </w:rPr>
              <w:t>[4.106.2]</w:t>
            </w:r>
            <w:r w:rsidRPr="000528C9">
              <w:rPr>
                <w:b/>
                <w:sz w:val="18"/>
                <w:szCs w:val="18"/>
              </w:rPr>
              <w:t>:</w:t>
            </w:r>
          </w:p>
          <w:p w14:paraId="7743F3A9" w14:textId="77777777" w:rsidR="00174379" w:rsidRPr="000528C9" w:rsidRDefault="003748A3" w:rsidP="00174379">
            <w:pPr>
              <w:widowControl w:val="0"/>
              <w:ind w:hanging="918"/>
              <w:rPr>
                <w:sz w:val="18"/>
                <w:szCs w:val="18"/>
              </w:rPr>
            </w:pPr>
            <w:r w:rsidRPr="000528C9">
              <w:rPr>
                <w:sz w:val="18"/>
                <w:szCs w:val="18"/>
              </w:rPr>
              <w:tab/>
              <w:t>Submit storm water drainage plans for projects &lt; 1 ac</w:t>
            </w:r>
            <w:r w:rsidR="000C2981" w:rsidRPr="000528C9">
              <w:rPr>
                <w:sz w:val="18"/>
                <w:szCs w:val="18"/>
              </w:rPr>
              <w:t>re</w:t>
            </w:r>
            <w:r w:rsidR="00746D2E" w:rsidRPr="000528C9">
              <w:rPr>
                <w:sz w:val="18"/>
                <w:szCs w:val="18"/>
              </w:rPr>
              <w:t xml:space="preserve"> and not part of a larger common plan of development which in total disturbs ≥ 1 acre</w:t>
            </w:r>
            <w:r w:rsidRPr="000528C9">
              <w:rPr>
                <w:sz w:val="18"/>
                <w:szCs w:val="18"/>
              </w:rPr>
              <w:t xml:space="preserve">.  Plans shall indicate how to manage storm water drainage during construction utilizing one or more of the following measures: </w:t>
            </w:r>
          </w:p>
          <w:p w14:paraId="04E7852C" w14:textId="77777777" w:rsidR="00174379" w:rsidRPr="000528C9" w:rsidRDefault="003748A3">
            <w:pPr>
              <w:pStyle w:val="ListParagraph"/>
              <w:widowControl w:val="0"/>
              <w:numPr>
                <w:ilvl w:val="0"/>
                <w:numId w:val="3"/>
              </w:numPr>
              <w:rPr>
                <w:sz w:val="18"/>
                <w:szCs w:val="18"/>
              </w:rPr>
            </w:pPr>
            <w:r w:rsidRPr="000528C9">
              <w:rPr>
                <w:sz w:val="18"/>
                <w:szCs w:val="18"/>
              </w:rPr>
              <w:t>Use of retention basins of sufficient siz</w:t>
            </w:r>
            <w:r w:rsidR="00B73678" w:rsidRPr="000528C9">
              <w:rPr>
                <w:sz w:val="18"/>
                <w:szCs w:val="18"/>
              </w:rPr>
              <w:t>e to retain storm water on-site.</w:t>
            </w:r>
          </w:p>
          <w:p w14:paraId="40EC9651" w14:textId="77777777" w:rsidR="00174379" w:rsidRPr="000528C9" w:rsidRDefault="003748A3">
            <w:pPr>
              <w:pStyle w:val="ListParagraph"/>
              <w:widowControl w:val="0"/>
              <w:numPr>
                <w:ilvl w:val="0"/>
                <w:numId w:val="3"/>
              </w:numPr>
              <w:rPr>
                <w:sz w:val="18"/>
                <w:szCs w:val="18"/>
              </w:rPr>
            </w:pPr>
            <w:r w:rsidRPr="000528C9">
              <w:rPr>
                <w:sz w:val="18"/>
                <w:szCs w:val="18"/>
              </w:rPr>
              <w:t>By filtering storm water with a barrier system, wattle, or other approved method when storm water is conveyed to a public drainage system, collection point, gut</w:t>
            </w:r>
            <w:r w:rsidR="00B73678" w:rsidRPr="000528C9">
              <w:rPr>
                <w:sz w:val="18"/>
                <w:szCs w:val="18"/>
              </w:rPr>
              <w:t>ter, or similar disposal method.</w:t>
            </w:r>
          </w:p>
          <w:p w14:paraId="17A51D0E" w14:textId="77777777" w:rsidR="0012790C" w:rsidRDefault="003748A3">
            <w:pPr>
              <w:pStyle w:val="ListParagraph"/>
              <w:widowControl w:val="0"/>
              <w:numPr>
                <w:ilvl w:val="0"/>
                <w:numId w:val="3"/>
              </w:numPr>
              <w:rPr>
                <w:sz w:val="18"/>
                <w:szCs w:val="18"/>
              </w:rPr>
            </w:pPr>
            <w:r w:rsidRPr="000528C9">
              <w:rPr>
                <w:sz w:val="18"/>
                <w:szCs w:val="18"/>
              </w:rPr>
              <w:t>By complying with a lawfully enacted stor</w:t>
            </w:r>
            <w:r w:rsidR="00A6305D" w:rsidRPr="000528C9">
              <w:rPr>
                <w:sz w:val="18"/>
                <w:szCs w:val="18"/>
              </w:rPr>
              <w:t>m water management o</w:t>
            </w:r>
            <w:r w:rsidR="00174379" w:rsidRPr="000528C9">
              <w:rPr>
                <w:sz w:val="18"/>
                <w:szCs w:val="18"/>
              </w:rPr>
              <w:t xml:space="preserve">rdinance.  </w:t>
            </w:r>
          </w:p>
          <w:p w14:paraId="4F4F7725" w14:textId="77777777" w:rsidR="00255268" w:rsidRPr="000528C9" w:rsidRDefault="00255268" w:rsidP="00255268">
            <w:pPr>
              <w:pStyle w:val="ListParagraph"/>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369A987D" w14:textId="77777777" w:rsidR="0012790C" w:rsidRPr="000528C9" w:rsidRDefault="0012790C">
            <w:pPr>
              <w:rPr>
                <w:sz w:val="18"/>
                <w:szCs w:val="18"/>
              </w:rPr>
            </w:pPr>
          </w:p>
        </w:tc>
      </w:tr>
      <w:tr w:rsidR="003748A3" w:rsidRPr="000528C9" w14:paraId="49D826C8" w14:textId="77777777" w:rsidTr="0054062C">
        <w:tc>
          <w:tcPr>
            <w:tcW w:w="720" w:type="dxa"/>
            <w:tcBorders>
              <w:top w:val="single" w:sz="2" w:space="0" w:color="auto"/>
              <w:left w:val="single" w:sz="2" w:space="0" w:color="auto"/>
              <w:bottom w:val="single" w:sz="2" w:space="0" w:color="auto"/>
              <w:right w:val="single" w:sz="2" w:space="0" w:color="auto"/>
            </w:tcBorders>
          </w:tcPr>
          <w:p w14:paraId="0EAE88C8" w14:textId="77777777" w:rsidR="003748A3" w:rsidRPr="000528C9" w:rsidRDefault="00D316C8">
            <w:pPr>
              <w:rPr>
                <w:sz w:val="18"/>
                <w:szCs w:val="18"/>
              </w:rPr>
            </w:pPr>
            <w:r w:rsidRPr="000528C9">
              <w:rPr>
                <w:sz w:val="18"/>
                <w:szCs w:val="18"/>
              </w:rPr>
              <w:t>1</w:t>
            </w:r>
            <w:r w:rsidR="000C2981" w:rsidRPr="000528C9">
              <w:rPr>
                <w:sz w:val="18"/>
                <w:szCs w:val="18"/>
              </w:rPr>
              <w:t>2</w:t>
            </w:r>
          </w:p>
        </w:tc>
        <w:tc>
          <w:tcPr>
            <w:tcW w:w="810" w:type="dxa"/>
            <w:tcBorders>
              <w:top w:val="single" w:sz="2" w:space="0" w:color="auto"/>
              <w:left w:val="single" w:sz="2" w:space="0" w:color="auto"/>
              <w:bottom w:val="single" w:sz="2" w:space="0" w:color="auto"/>
              <w:right w:val="single" w:sz="2" w:space="0" w:color="auto"/>
            </w:tcBorders>
          </w:tcPr>
          <w:p w14:paraId="58C207EB" w14:textId="77777777" w:rsidR="003748A3" w:rsidRPr="000528C9" w:rsidRDefault="003748A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6B6A31B" w14:textId="77777777" w:rsidR="003748A3" w:rsidRPr="000528C9" w:rsidRDefault="00E01357" w:rsidP="003748A3">
            <w:pPr>
              <w:widowControl w:val="0"/>
              <w:ind w:left="720" w:hanging="720"/>
              <w:rPr>
                <w:b/>
                <w:sz w:val="18"/>
                <w:szCs w:val="18"/>
              </w:rPr>
            </w:pPr>
            <w:r w:rsidRPr="000528C9">
              <w:rPr>
                <w:b/>
                <w:sz w:val="18"/>
                <w:szCs w:val="18"/>
              </w:rPr>
              <w:t>Grading and Paving</w:t>
            </w:r>
            <w:r w:rsidR="00A6305D" w:rsidRPr="000528C9">
              <w:rPr>
                <w:b/>
                <w:sz w:val="18"/>
                <w:szCs w:val="18"/>
              </w:rPr>
              <w:t xml:space="preserve"> </w:t>
            </w:r>
            <w:r w:rsidR="00A6305D" w:rsidRPr="000528C9">
              <w:rPr>
                <w:sz w:val="18"/>
                <w:szCs w:val="18"/>
              </w:rPr>
              <w:t>[4</w:t>
            </w:r>
            <w:r w:rsidR="00872FAE" w:rsidRPr="000528C9">
              <w:rPr>
                <w:sz w:val="18"/>
                <w:szCs w:val="18"/>
              </w:rPr>
              <w:t>.</w:t>
            </w:r>
            <w:r w:rsidR="00A6305D" w:rsidRPr="000528C9">
              <w:rPr>
                <w:sz w:val="18"/>
                <w:szCs w:val="18"/>
              </w:rPr>
              <w:t>106.3]</w:t>
            </w:r>
            <w:r w:rsidR="004616B5" w:rsidRPr="000528C9">
              <w:rPr>
                <w:b/>
                <w:sz w:val="18"/>
                <w:szCs w:val="18"/>
              </w:rPr>
              <w:t>:</w:t>
            </w:r>
          </w:p>
          <w:p w14:paraId="479C0964" w14:textId="77777777" w:rsidR="003748A3" w:rsidRPr="000528C9" w:rsidRDefault="003748A3" w:rsidP="004616B5">
            <w:pPr>
              <w:widowControl w:val="0"/>
              <w:rPr>
                <w:sz w:val="18"/>
                <w:szCs w:val="18"/>
              </w:rPr>
            </w:pPr>
            <w:r w:rsidRPr="000528C9">
              <w:rPr>
                <w:sz w:val="18"/>
                <w:szCs w:val="18"/>
              </w:rPr>
              <w:t xml:space="preserve">Submit surface drainage plans to indicate how </w:t>
            </w:r>
            <w:r w:rsidR="00E01357" w:rsidRPr="000528C9">
              <w:rPr>
                <w:sz w:val="18"/>
                <w:szCs w:val="18"/>
              </w:rPr>
              <w:t xml:space="preserve">the site grading or drainage system will manage all </w:t>
            </w:r>
            <w:r w:rsidRPr="000528C9">
              <w:rPr>
                <w:sz w:val="18"/>
                <w:szCs w:val="18"/>
              </w:rPr>
              <w:t xml:space="preserve">surface water </w:t>
            </w:r>
            <w:r w:rsidR="00E01357" w:rsidRPr="000528C9">
              <w:rPr>
                <w:sz w:val="18"/>
                <w:szCs w:val="18"/>
              </w:rPr>
              <w:t xml:space="preserve">flows to keep water from </w:t>
            </w:r>
            <w:r w:rsidRPr="000528C9">
              <w:rPr>
                <w:sz w:val="18"/>
                <w:szCs w:val="18"/>
              </w:rPr>
              <w:t>enter</w:t>
            </w:r>
            <w:r w:rsidR="00E01357" w:rsidRPr="000528C9">
              <w:rPr>
                <w:sz w:val="18"/>
                <w:szCs w:val="18"/>
              </w:rPr>
              <w:t>ing</w:t>
            </w:r>
            <w:r w:rsidRPr="000528C9">
              <w:rPr>
                <w:sz w:val="18"/>
                <w:szCs w:val="18"/>
              </w:rPr>
              <w:t xml:space="preserve"> buildings.  Examples of methods to manage surface water include:</w:t>
            </w:r>
          </w:p>
          <w:p w14:paraId="48211F37" w14:textId="77777777" w:rsidR="004616B5" w:rsidRPr="000528C9" w:rsidRDefault="00B73678">
            <w:pPr>
              <w:pStyle w:val="ListParagraph"/>
              <w:widowControl w:val="0"/>
              <w:numPr>
                <w:ilvl w:val="0"/>
                <w:numId w:val="4"/>
              </w:numPr>
              <w:rPr>
                <w:sz w:val="18"/>
                <w:szCs w:val="18"/>
              </w:rPr>
            </w:pPr>
            <w:r w:rsidRPr="000528C9">
              <w:rPr>
                <w:sz w:val="18"/>
                <w:szCs w:val="18"/>
              </w:rPr>
              <w:t>Swales</w:t>
            </w:r>
          </w:p>
          <w:p w14:paraId="39B74B4F" w14:textId="77777777" w:rsidR="004616B5" w:rsidRPr="000528C9" w:rsidRDefault="00B73678">
            <w:pPr>
              <w:pStyle w:val="ListParagraph"/>
              <w:widowControl w:val="0"/>
              <w:numPr>
                <w:ilvl w:val="0"/>
                <w:numId w:val="4"/>
              </w:numPr>
              <w:rPr>
                <w:sz w:val="18"/>
                <w:szCs w:val="18"/>
              </w:rPr>
            </w:pPr>
            <w:r w:rsidRPr="000528C9">
              <w:rPr>
                <w:sz w:val="18"/>
                <w:szCs w:val="18"/>
              </w:rPr>
              <w:t>Water collection and disposal systems</w:t>
            </w:r>
          </w:p>
          <w:p w14:paraId="47D0F6BB" w14:textId="77777777" w:rsidR="004616B5" w:rsidRPr="000528C9" w:rsidRDefault="00B73678">
            <w:pPr>
              <w:pStyle w:val="ListParagraph"/>
              <w:widowControl w:val="0"/>
              <w:numPr>
                <w:ilvl w:val="0"/>
                <w:numId w:val="4"/>
              </w:numPr>
              <w:rPr>
                <w:sz w:val="18"/>
                <w:szCs w:val="18"/>
              </w:rPr>
            </w:pPr>
            <w:r w:rsidRPr="000528C9">
              <w:rPr>
                <w:sz w:val="18"/>
                <w:szCs w:val="18"/>
              </w:rPr>
              <w:t>French Drains</w:t>
            </w:r>
          </w:p>
          <w:p w14:paraId="36964664" w14:textId="77777777" w:rsidR="004616B5" w:rsidRPr="000528C9" w:rsidRDefault="00B73678">
            <w:pPr>
              <w:pStyle w:val="ListParagraph"/>
              <w:widowControl w:val="0"/>
              <w:numPr>
                <w:ilvl w:val="0"/>
                <w:numId w:val="4"/>
              </w:numPr>
              <w:rPr>
                <w:sz w:val="18"/>
                <w:szCs w:val="18"/>
              </w:rPr>
            </w:pPr>
            <w:r w:rsidRPr="000528C9">
              <w:rPr>
                <w:sz w:val="18"/>
                <w:szCs w:val="18"/>
              </w:rPr>
              <w:t>Water retention gardens</w:t>
            </w:r>
          </w:p>
          <w:p w14:paraId="3E1737BB" w14:textId="77777777" w:rsidR="000C2981" w:rsidRPr="000528C9" w:rsidRDefault="003748A3">
            <w:pPr>
              <w:pStyle w:val="ListParagraph"/>
              <w:widowControl w:val="0"/>
              <w:numPr>
                <w:ilvl w:val="0"/>
                <w:numId w:val="4"/>
              </w:numPr>
              <w:rPr>
                <w:sz w:val="18"/>
                <w:szCs w:val="18"/>
              </w:rPr>
            </w:pPr>
            <w:r w:rsidRPr="000528C9">
              <w:rPr>
                <w:sz w:val="18"/>
                <w:szCs w:val="18"/>
              </w:rPr>
              <w:t>Other water measures which keep surface water away from buildings and ai</w:t>
            </w:r>
            <w:r w:rsidR="004616B5" w:rsidRPr="000528C9">
              <w:rPr>
                <w:sz w:val="18"/>
                <w:szCs w:val="18"/>
              </w:rPr>
              <w:t xml:space="preserve">d in </w:t>
            </w:r>
            <w:r w:rsidR="00174379" w:rsidRPr="000528C9">
              <w:rPr>
                <w:sz w:val="18"/>
                <w:szCs w:val="18"/>
              </w:rPr>
              <w:t xml:space="preserve">groundwater recharge. </w:t>
            </w:r>
          </w:p>
          <w:p w14:paraId="6E35A86F" w14:textId="77777777" w:rsidR="003748A3" w:rsidRDefault="000C2981" w:rsidP="000C2981">
            <w:pPr>
              <w:pStyle w:val="ListParagraph"/>
              <w:widowControl w:val="0"/>
              <w:ind w:left="0"/>
              <w:rPr>
                <w:sz w:val="18"/>
                <w:szCs w:val="18"/>
              </w:rPr>
            </w:pPr>
            <w:r w:rsidRPr="000528C9">
              <w:rPr>
                <w:i/>
                <w:sz w:val="18"/>
                <w:szCs w:val="18"/>
                <w:u w:val="single"/>
              </w:rPr>
              <w:t>Exception</w:t>
            </w:r>
            <w:r w:rsidRPr="000528C9">
              <w:rPr>
                <w:sz w:val="18"/>
                <w:szCs w:val="18"/>
                <w:u w:val="single"/>
              </w:rPr>
              <w:t>:</w:t>
            </w:r>
            <w:r w:rsidRPr="000528C9">
              <w:rPr>
                <w:sz w:val="18"/>
                <w:szCs w:val="18"/>
              </w:rPr>
              <w:t xml:space="preserve"> Additions and alterations not altering the drainage path.</w:t>
            </w:r>
            <w:r w:rsidR="00174379" w:rsidRPr="000528C9">
              <w:rPr>
                <w:sz w:val="18"/>
                <w:szCs w:val="18"/>
              </w:rPr>
              <w:t xml:space="preserve"> </w:t>
            </w:r>
          </w:p>
          <w:p w14:paraId="1BC1CCC3" w14:textId="77777777" w:rsidR="00255268" w:rsidRPr="000528C9" w:rsidRDefault="00255268" w:rsidP="000C2981">
            <w:pPr>
              <w:pStyle w:val="ListParagraph"/>
              <w:widowControl w:val="0"/>
              <w:ind w:left="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74D927C8" w14:textId="77777777" w:rsidR="003748A3" w:rsidRPr="000528C9" w:rsidRDefault="003748A3">
            <w:pPr>
              <w:rPr>
                <w:sz w:val="18"/>
                <w:szCs w:val="18"/>
              </w:rPr>
            </w:pPr>
          </w:p>
        </w:tc>
      </w:tr>
      <w:tr w:rsidR="003748A3" w:rsidRPr="000528C9" w14:paraId="452897C4" w14:textId="77777777" w:rsidTr="0054062C">
        <w:tc>
          <w:tcPr>
            <w:tcW w:w="720" w:type="dxa"/>
            <w:tcBorders>
              <w:top w:val="single" w:sz="2" w:space="0" w:color="auto"/>
              <w:left w:val="single" w:sz="2" w:space="0" w:color="auto"/>
              <w:bottom w:val="single" w:sz="2" w:space="0" w:color="auto"/>
              <w:right w:val="single" w:sz="2" w:space="0" w:color="auto"/>
            </w:tcBorders>
          </w:tcPr>
          <w:p w14:paraId="04549BB4" w14:textId="77777777" w:rsidR="003748A3" w:rsidRPr="000528C9" w:rsidRDefault="00D316C8">
            <w:pPr>
              <w:rPr>
                <w:sz w:val="18"/>
                <w:szCs w:val="18"/>
              </w:rPr>
            </w:pPr>
            <w:r w:rsidRPr="000528C9">
              <w:rPr>
                <w:sz w:val="18"/>
                <w:szCs w:val="18"/>
              </w:rPr>
              <w:t>1</w:t>
            </w:r>
            <w:r w:rsidR="000C2981" w:rsidRPr="000528C9">
              <w:rPr>
                <w:sz w:val="18"/>
                <w:szCs w:val="18"/>
              </w:rPr>
              <w:t>3</w:t>
            </w:r>
          </w:p>
        </w:tc>
        <w:tc>
          <w:tcPr>
            <w:tcW w:w="810" w:type="dxa"/>
            <w:tcBorders>
              <w:top w:val="single" w:sz="2" w:space="0" w:color="auto"/>
              <w:left w:val="single" w:sz="2" w:space="0" w:color="auto"/>
              <w:bottom w:val="single" w:sz="2" w:space="0" w:color="auto"/>
              <w:right w:val="single" w:sz="2" w:space="0" w:color="auto"/>
            </w:tcBorders>
          </w:tcPr>
          <w:p w14:paraId="3CE60216" w14:textId="77777777" w:rsidR="003748A3" w:rsidRPr="000528C9" w:rsidRDefault="003748A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EEADA96" w14:textId="77777777" w:rsidR="003748A3" w:rsidRPr="000528C9" w:rsidRDefault="003748A3" w:rsidP="004616B5">
            <w:pPr>
              <w:rPr>
                <w:sz w:val="18"/>
                <w:szCs w:val="18"/>
              </w:rPr>
            </w:pPr>
            <w:r w:rsidRPr="000528C9">
              <w:rPr>
                <w:sz w:val="18"/>
                <w:szCs w:val="18"/>
              </w:rPr>
              <w:t>Provide documentation to indicate the project meets the requirements of State mandatory</w:t>
            </w:r>
            <w:r w:rsidR="00174379" w:rsidRPr="000528C9">
              <w:rPr>
                <w:sz w:val="18"/>
                <w:szCs w:val="18"/>
              </w:rPr>
              <w:t xml:space="preserve"> energy efficiency standards.  </w:t>
            </w:r>
            <w:r w:rsidR="004616B5" w:rsidRPr="000528C9">
              <w:rPr>
                <w:sz w:val="18"/>
                <w:szCs w:val="18"/>
              </w:rPr>
              <w:t>[</w:t>
            </w:r>
            <w:r w:rsidRPr="000528C9">
              <w:rPr>
                <w:sz w:val="18"/>
                <w:szCs w:val="18"/>
              </w:rPr>
              <w:t>4</w:t>
            </w:r>
            <w:r w:rsidR="00A6305D" w:rsidRPr="000528C9">
              <w:rPr>
                <w:sz w:val="18"/>
                <w:szCs w:val="18"/>
              </w:rPr>
              <w:t>.</w:t>
            </w:r>
            <w:r w:rsidRPr="000528C9">
              <w:rPr>
                <w:sz w:val="18"/>
                <w:szCs w:val="18"/>
              </w:rPr>
              <w:t>201.1</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72D0891A" w14:textId="77777777" w:rsidR="003748A3" w:rsidRPr="000528C9" w:rsidRDefault="003748A3">
            <w:pPr>
              <w:rPr>
                <w:sz w:val="18"/>
                <w:szCs w:val="18"/>
              </w:rPr>
            </w:pPr>
          </w:p>
        </w:tc>
      </w:tr>
      <w:tr w:rsidR="000C2981" w:rsidRPr="000528C9" w14:paraId="00E29C46" w14:textId="77777777" w:rsidTr="0054062C">
        <w:tc>
          <w:tcPr>
            <w:tcW w:w="720" w:type="dxa"/>
            <w:tcBorders>
              <w:top w:val="single" w:sz="2" w:space="0" w:color="auto"/>
              <w:left w:val="single" w:sz="2" w:space="0" w:color="auto"/>
              <w:bottom w:val="single" w:sz="2" w:space="0" w:color="auto"/>
              <w:right w:val="single" w:sz="2" w:space="0" w:color="auto"/>
            </w:tcBorders>
          </w:tcPr>
          <w:p w14:paraId="415314A4" w14:textId="77777777" w:rsidR="000C2981" w:rsidRPr="000528C9" w:rsidRDefault="000C2981">
            <w:pPr>
              <w:rPr>
                <w:sz w:val="18"/>
                <w:szCs w:val="18"/>
              </w:rPr>
            </w:pPr>
            <w:r w:rsidRPr="000528C9">
              <w:rPr>
                <w:sz w:val="18"/>
                <w:szCs w:val="18"/>
              </w:rPr>
              <w:t>14</w:t>
            </w:r>
          </w:p>
        </w:tc>
        <w:tc>
          <w:tcPr>
            <w:tcW w:w="810" w:type="dxa"/>
            <w:tcBorders>
              <w:top w:val="single" w:sz="2" w:space="0" w:color="auto"/>
              <w:left w:val="single" w:sz="2" w:space="0" w:color="auto"/>
              <w:bottom w:val="single" w:sz="2" w:space="0" w:color="auto"/>
              <w:right w:val="single" w:sz="2" w:space="0" w:color="auto"/>
            </w:tcBorders>
          </w:tcPr>
          <w:p w14:paraId="2B4BBAA3" w14:textId="77777777" w:rsidR="000C2981" w:rsidRPr="000528C9" w:rsidRDefault="000C2981">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1343B7A4" w14:textId="77777777" w:rsidR="000C2981" w:rsidRPr="000528C9" w:rsidRDefault="00BC4EB7" w:rsidP="004616B5">
            <w:pPr>
              <w:widowControl w:val="0"/>
              <w:rPr>
                <w:sz w:val="18"/>
                <w:szCs w:val="18"/>
              </w:rPr>
            </w:pPr>
            <w:r w:rsidRPr="000528C9">
              <w:rPr>
                <w:sz w:val="18"/>
                <w:szCs w:val="18"/>
              </w:rPr>
              <w:t xml:space="preserve">Provide capability for </w:t>
            </w:r>
            <w:r w:rsidRPr="000528C9">
              <w:rPr>
                <w:b/>
                <w:sz w:val="18"/>
                <w:szCs w:val="18"/>
              </w:rPr>
              <w:t>e</w:t>
            </w:r>
            <w:r w:rsidR="00556F5F" w:rsidRPr="000528C9">
              <w:rPr>
                <w:b/>
                <w:sz w:val="18"/>
                <w:szCs w:val="18"/>
              </w:rPr>
              <w:t>lectric vehicle (EV) charging for</w:t>
            </w:r>
            <w:r w:rsidRPr="000528C9">
              <w:rPr>
                <w:b/>
                <w:sz w:val="18"/>
                <w:szCs w:val="18"/>
              </w:rPr>
              <w:t xml:space="preserve"> </w:t>
            </w:r>
            <w:r w:rsidRPr="000528C9">
              <w:rPr>
                <w:b/>
                <w:sz w:val="18"/>
                <w:szCs w:val="18"/>
                <w:u w:val="single"/>
              </w:rPr>
              <w:t>new</w:t>
            </w:r>
            <w:r w:rsidR="00F4058B" w:rsidRPr="000528C9">
              <w:rPr>
                <w:b/>
                <w:sz w:val="18"/>
                <w:szCs w:val="18"/>
              </w:rPr>
              <w:t xml:space="preserve"> </w:t>
            </w:r>
            <w:r w:rsidRPr="000528C9">
              <w:rPr>
                <w:b/>
                <w:sz w:val="18"/>
                <w:szCs w:val="18"/>
              </w:rPr>
              <w:t>one- and two-family dwellings and in townhouses with attached private garages</w:t>
            </w:r>
            <w:r w:rsidRPr="000528C9">
              <w:rPr>
                <w:sz w:val="18"/>
                <w:szCs w:val="18"/>
              </w:rPr>
              <w:t xml:space="preserve"> [4.106.4.1]:</w:t>
            </w:r>
          </w:p>
          <w:p w14:paraId="27E8B970" w14:textId="77777777" w:rsidR="00BC4EB7" w:rsidRPr="000528C9" w:rsidRDefault="00BC4EB7">
            <w:pPr>
              <w:pStyle w:val="ListParagraph"/>
              <w:widowControl w:val="0"/>
              <w:numPr>
                <w:ilvl w:val="0"/>
                <w:numId w:val="10"/>
              </w:numPr>
              <w:rPr>
                <w:sz w:val="18"/>
                <w:szCs w:val="18"/>
              </w:rPr>
            </w:pPr>
            <w:r w:rsidRPr="000528C9">
              <w:rPr>
                <w:sz w:val="18"/>
                <w:szCs w:val="18"/>
              </w:rPr>
              <w:t>Install a 1”</w:t>
            </w:r>
            <w:r w:rsidR="00C34A90" w:rsidRPr="000528C9">
              <w:rPr>
                <w:sz w:val="18"/>
                <w:szCs w:val="18"/>
              </w:rPr>
              <w:t xml:space="preserve"> dia.</w:t>
            </w:r>
            <w:r w:rsidRPr="000528C9">
              <w:rPr>
                <w:sz w:val="18"/>
                <w:szCs w:val="18"/>
              </w:rPr>
              <w:t xml:space="preserve"> </w:t>
            </w:r>
            <w:r w:rsidR="0065372D" w:rsidRPr="000528C9">
              <w:rPr>
                <w:sz w:val="18"/>
                <w:szCs w:val="18"/>
              </w:rPr>
              <w:t xml:space="preserve">minimum </w:t>
            </w:r>
            <w:r w:rsidR="00C34A90" w:rsidRPr="000528C9">
              <w:rPr>
                <w:sz w:val="18"/>
                <w:szCs w:val="18"/>
              </w:rPr>
              <w:t>listed raceway for</w:t>
            </w:r>
            <w:r w:rsidRPr="000528C9">
              <w:rPr>
                <w:sz w:val="18"/>
                <w:szCs w:val="18"/>
              </w:rPr>
              <w:t xml:space="preserve"> dedicated 208/240-volt branch circuit for each dwelling unit. The raceway shall originate at the main service or subpanel and terminate into a listed cabinet, box or other enclosure in close proximity to the proposed </w:t>
            </w:r>
            <w:r w:rsidR="0065372D" w:rsidRPr="000528C9">
              <w:rPr>
                <w:sz w:val="18"/>
                <w:szCs w:val="18"/>
              </w:rPr>
              <w:t xml:space="preserve">EV charger location. </w:t>
            </w:r>
          </w:p>
          <w:p w14:paraId="261ED3A2" w14:textId="77777777" w:rsidR="00400885" w:rsidRPr="000528C9" w:rsidRDefault="005E517A">
            <w:pPr>
              <w:pStyle w:val="ListParagraph"/>
              <w:widowControl w:val="0"/>
              <w:numPr>
                <w:ilvl w:val="0"/>
                <w:numId w:val="10"/>
              </w:numPr>
              <w:rPr>
                <w:sz w:val="18"/>
                <w:szCs w:val="18"/>
              </w:rPr>
            </w:pPr>
            <w:r w:rsidRPr="000528C9">
              <w:rPr>
                <w:sz w:val="18"/>
                <w:szCs w:val="18"/>
              </w:rPr>
              <w:t xml:space="preserve">The service panel and/or subpanel shall provide capacity to install a 40-ampere </w:t>
            </w:r>
            <w:r w:rsidR="00400885" w:rsidRPr="000528C9">
              <w:rPr>
                <w:sz w:val="18"/>
                <w:szCs w:val="18"/>
              </w:rPr>
              <w:t xml:space="preserve">208/240-volt </w:t>
            </w:r>
            <w:r w:rsidRPr="000528C9">
              <w:rPr>
                <w:sz w:val="18"/>
                <w:szCs w:val="18"/>
              </w:rPr>
              <w:t>minimum dedicated branch circuit and space(s) reserved to permit installation of a branch circuit over-current protective device.</w:t>
            </w:r>
          </w:p>
          <w:p w14:paraId="07A9AE72" w14:textId="77777777" w:rsidR="00400885" w:rsidRPr="000528C9" w:rsidRDefault="00400885" w:rsidP="00400885">
            <w:pPr>
              <w:pStyle w:val="ListParagraph"/>
              <w:widowControl w:val="0"/>
              <w:ind w:left="360"/>
              <w:rPr>
                <w:sz w:val="18"/>
                <w:szCs w:val="18"/>
                <w:u w:val="single"/>
              </w:rPr>
            </w:pPr>
            <w:r w:rsidRPr="000528C9">
              <w:rPr>
                <w:i/>
                <w:sz w:val="18"/>
                <w:szCs w:val="18"/>
                <w:u w:val="single"/>
              </w:rPr>
              <w:t>Exception:</w:t>
            </w:r>
          </w:p>
          <w:p w14:paraId="1395EE8F" w14:textId="77777777" w:rsidR="005E517A" w:rsidRPr="000528C9" w:rsidRDefault="00400885" w:rsidP="00400885">
            <w:pPr>
              <w:pStyle w:val="ListParagraph"/>
              <w:widowControl w:val="0"/>
              <w:rPr>
                <w:sz w:val="18"/>
                <w:szCs w:val="18"/>
              </w:rPr>
            </w:pPr>
            <w:r w:rsidRPr="000528C9">
              <w:rPr>
                <w:sz w:val="18"/>
                <w:szCs w:val="18"/>
              </w:rPr>
              <w:t>A raceway is not required if a minimum 40-ampere 208/240-volt dedicated EV branch circuit is installed in close proximity</w:t>
            </w:r>
            <w:r w:rsidR="005E517A" w:rsidRPr="000528C9">
              <w:rPr>
                <w:sz w:val="18"/>
                <w:szCs w:val="18"/>
              </w:rPr>
              <w:t xml:space="preserve"> </w:t>
            </w:r>
            <w:r w:rsidRPr="000528C9">
              <w:rPr>
                <w:sz w:val="18"/>
                <w:szCs w:val="18"/>
              </w:rPr>
              <w:t>to the proposed location of an EV charger at the time of original construction.</w:t>
            </w:r>
          </w:p>
          <w:p w14:paraId="79ED9EB1" w14:textId="77777777" w:rsidR="00C34A90" w:rsidRPr="000528C9" w:rsidRDefault="0065372D">
            <w:pPr>
              <w:pStyle w:val="ListParagraph"/>
              <w:widowControl w:val="0"/>
              <w:numPr>
                <w:ilvl w:val="0"/>
                <w:numId w:val="10"/>
              </w:numPr>
              <w:rPr>
                <w:sz w:val="18"/>
                <w:szCs w:val="18"/>
              </w:rPr>
            </w:pPr>
            <w:r w:rsidRPr="000528C9">
              <w:rPr>
                <w:sz w:val="18"/>
                <w:szCs w:val="18"/>
              </w:rPr>
              <w:t xml:space="preserve">The service panel or subpanel </w:t>
            </w:r>
            <w:r w:rsidR="00C34A90" w:rsidRPr="000528C9">
              <w:rPr>
                <w:sz w:val="18"/>
                <w:szCs w:val="18"/>
              </w:rPr>
              <w:t>shall identify the overcurrent protective device space(s) reserved for future EV charging as “EV CAP</w:t>
            </w:r>
            <w:r w:rsidR="005E517A" w:rsidRPr="000528C9">
              <w:rPr>
                <w:sz w:val="18"/>
                <w:szCs w:val="18"/>
              </w:rPr>
              <w:t>A</w:t>
            </w:r>
            <w:r w:rsidR="00C34A90" w:rsidRPr="000528C9">
              <w:rPr>
                <w:sz w:val="18"/>
                <w:szCs w:val="18"/>
              </w:rPr>
              <w:t>BLE”.</w:t>
            </w:r>
          </w:p>
          <w:p w14:paraId="7FC4FF2F" w14:textId="77777777" w:rsidR="0065372D" w:rsidRDefault="00C34A90" w:rsidP="00C34A90">
            <w:pPr>
              <w:pStyle w:val="ListParagraph"/>
              <w:widowControl w:val="0"/>
              <w:ind w:left="360"/>
              <w:rPr>
                <w:sz w:val="18"/>
                <w:szCs w:val="18"/>
              </w:rPr>
            </w:pPr>
            <w:r w:rsidRPr="000528C9">
              <w:rPr>
                <w:sz w:val="18"/>
                <w:szCs w:val="18"/>
              </w:rPr>
              <w:t>The raceway termination location shall be permanently and visibly marked as “EV CAP</w:t>
            </w:r>
            <w:r w:rsidR="00FB7F2A" w:rsidRPr="000528C9">
              <w:rPr>
                <w:sz w:val="18"/>
                <w:szCs w:val="18"/>
              </w:rPr>
              <w:t>A</w:t>
            </w:r>
            <w:r w:rsidRPr="000528C9">
              <w:rPr>
                <w:sz w:val="18"/>
                <w:szCs w:val="18"/>
              </w:rPr>
              <w:t>BLE”.</w:t>
            </w:r>
            <w:r w:rsidR="0065372D" w:rsidRPr="000528C9">
              <w:rPr>
                <w:sz w:val="18"/>
                <w:szCs w:val="18"/>
              </w:rPr>
              <w:t xml:space="preserve"> </w:t>
            </w:r>
            <w:r w:rsidRPr="000528C9">
              <w:rPr>
                <w:sz w:val="18"/>
                <w:szCs w:val="18"/>
              </w:rPr>
              <w:t>[4.106.4.1.1]</w:t>
            </w:r>
          </w:p>
          <w:p w14:paraId="2BEDD5BA" w14:textId="77777777" w:rsidR="00255268" w:rsidRPr="000528C9" w:rsidRDefault="00255268" w:rsidP="00C34A90">
            <w:pPr>
              <w:pStyle w:val="ListParagraph"/>
              <w:widowControl w:val="0"/>
              <w:ind w:left="36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5E2D09EC" w14:textId="77777777" w:rsidR="000C2981" w:rsidRPr="000528C9" w:rsidRDefault="000C2981">
            <w:pPr>
              <w:rPr>
                <w:sz w:val="18"/>
                <w:szCs w:val="18"/>
              </w:rPr>
            </w:pPr>
          </w:p>
        </w:tc>
      </w:tr>
      <w:tr w:rsidR="003C314E" w:rsidRPr="003C314E" w14:paraId="012BDA93" w14:textId="77777777" w:rsidTr="0054062C">
        <w:tc>
          <w:tcPr>
            <w:tcW w:w="720" w:type="dxa"/>
            <w:tcBorders>
              <w:top w:val="single" w:sz="2" w:space="0" w:color="auto"/>
              <w:left w:val="single" w:sz="2" w:space="0" w:color="auto"/>
              <w:bottom w:val="single" w:sz="2" w:space="0" w:color="auto"/>
              <w:right w:val="single" w:sz="2" w:space="0" w:color="auto"/>
            </w:tcBorders>
          </w:tcPr>
          <w:p w14:paraId="1091CE5F" w14:textId="77777777" w:rsidR="00B17AFF" w:rsidRPr="003C314E" w:rsidRDefault="00B17AFF">
            <w:pPr>
              <w:rPr>
                <w:color w:val="C00000"/>
                <w:sz w:val="18"/>
                <w:szCs w:val="18"/>
              </w:rPr>
            </w:pPr>
            <w:r w:rsidRPr="003C314E">
              <w:rPr>
                <w:color w:val="C00000"/>
                <w:sz w:val="18"/>
                <w:szCs w:val="18"/>
              </w:rPr>
              <w:t>15</w:t>
            </w:r>
          </w:p>
        </w:tc>
        <w:tc>
          <w:tcPr>
            <w:tcW w:w="810" w:type="dxa"/>
            <w:tcBorders>
              <w:top w:val="single" w:sz="2" w:space="0" w:color="auto"/>
              <w:left w:val="single" w:sz="2" w:space="0" w:color="auto"/>
              <w:bottom w:val="single" w:sz="2" w:space="0" w:color="auto"/>
              <w:right w:val="single" w:sz="2" w:space="0" w:color="auto"/>
            </w:tcBorders>
          </w:tcPr>
          <w:p w14:paraId="44A6DB0B" w14:textId="77777777" w:rsidR="00B17AFF" w:rsidRPr="003C314E" w:rsidRDefault="00B17AFF">
            <w:pPr>
              <w:rPr>
                <w:color w:val="C00000"/>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BF41171" w14:textId="39B48F46" w:rsidR="009F7456" w:rsidRPr="003C314E" w:rsidRDefault="00B17AFF" w:rsidP="002C55B5">
            <w:pPr>
              <w:widowControl w:val="0"/>
              <w:rPr>
                <w:b/>
                <w:color w:val="C00000"/>
                <w:sz w:val="18"/>
                <w:szCs w:val="18"/>
              </w:rPr>
            </w:pPr>
            <w:r w:rsidRPr="003C314E">
              <w:rPr>
                <w:b/>
                <w:color w:val="C00000"/>
                <w:sz w:val="18"/>
                <w:szCs w:val="18"/>
              </w:rPr>
              <w:t xml:space="preserve">For </w:t>
            </w:r>
            <w:r w:rsidR="003C4A5D" w:rsidRPr="003C314E">
              <w:rPr>
                <w:b/>
                <w:color w:val="C00000"/>
                <w:sz w:val="18"/>
                <w:szCs w:val="18"/>
              </w:rPr>
              <w:t>n</w:t>
            </w:r>
            <w:r w:rsidR="00445EE9" w:rsidRPr="003C314E">
              <w:rPr>
                <w:b/>
                <w:color w:val="C00000"/>
                <w:sz w:val="18"/>
                <w:szCs w:val="18"/>
              </w:rPr>
              <w:t xml:space="preserve">ew </w:t>
            </w:r>
            <w:r w:rsidR="003C4A5D" w:rsidRPr="003C314E">
              <w:rPr>
                <w:b/>
                <w:color w:val="C00000"/>
                <w:sz w:val="18"/>
                <w:szCs w:val="18"/>
              </w:rPr>
              <w:t>m</w:t>
            </w:r>
            <w:r w:rsidR="000C0F94" w:rsidRPr="003C314E">
              <w:rPr>
                <w:b/>
                <w:color w:val="C00000"/>
                <w:sz w:val="18"/>
                <w:szCs w:val="18"/>
              </w:rPr>
              <w:t xml:space="preserve">ultifamily </w:t>
            </w:r>
            <w:r w:rsidR="003C4A5D" w:rsidRPr="003C314E">
              <w:rPr>
                <w:b/>
                <w:color w:val="C00000"/>
                <w:sz w:val="18"/>
                <w:szCs w:val="18"/>
              </w:rPr>
              <w:t>d</w:t>
            </w:r>
            <w:r w:rsidR="000C0F94" w:rsidRPr="003C314E">
              <w:rPr>
                <w:b/>
                <w:color w:val="C00000"/>
                <w:sz w:val="18"/>
                <w:szCs w:val="18"/>
              </w:rPr>
              <w:t>welling</w:t>
            </w:r>
            <w:r w:rsidR="00445EE9" w:rsidRPr="003C314E">
              <w:rPr>
                <w:b/>
                <w:color w:val="C00000"/>
                <w:sz w:val="18"/>
                <w:szCs w:val="18"/>
              </w:rPr>
              <w:t>s,</w:t>
            </w:r>
            <w:r w:rsidR="000C0F94" w:rsidRPr="003C314E">
              <w:rPr>
                <w:b/>
                <w:color w:val="C00000"/>
                <w:sz w:val="18"/>
                <w:szCs w:val="18"/>
              </w:rPr>
              <w:t xml:space="preserve"> </w:t>
            </w:r>
            <w:r w:rsidR="003C4A5D" w:rsidRPr="003C314E">
              <w:rPr>
                <w:b/>
                <w:color w:val="C00000"/>
                <w:sz w:val="18"/>
                <w:szCs w:val="18"/>
              </w:rPr>
              <w:t>h</w:t>
            </w:r>
            <w:r w:rsidR="000C0F94" w:rsidRPr="003C314E">
              <w:rPr>
                <w:b/>
                <w:color w:val="C00000"/>
                <w:sz w:val="18"/>
                <w:szCs w:val="18"/>
              </w:rPr>
              <w:t xml:space="preserve">otels and </w:t>
            </w:r>
            <w:r w:rsidR="003C4A5D" w:rsidRPr="003C314E">
              <w:rPr>
                <w:b/>
                <w:color w:val="C00000"/>
                <w:sz w:val="18"/>
                <w:szCs w:val="18"/>
              </w:rPr>
              <w:t>m</w:t>
            </w:r>
            <w:r w:rsidR="000C0F94" w:rsidRPr="003C314E">
              <w:rPr>
                <w:b/>
                <w:color w:val="C00000"/>
                <w:sz w:val="18"/>
                <w:szCs w:val="18"/>
              </w:rPr>
              <w:t xml:space="preserve">otels </w:t>
            </w:r>
            <w:r w:rsidR="00445EE9" w:rsidRPr="003C314E">
              <w:rPr>
                <w:b/>
                <w:color w:val="C00000"/>
                <w:sz w:val="18"/>
                <w:szCs w:val="18"/>
              </w:rPr>
              <w:t>and new residential parking facilities</w:t>
            </w:r>
            <w:r w:rsidR="000D207F" w:rsidRPr="003C314E">
              <w:rPr>
                <w:b/>
                <w:color w:val="C00000"/>
                <w:sz w:val="18"/>
                <w:szCs w:val="18"/>
              </w:rPr>
              <w:t xml:space="preserve"> </w:t>
            </w:r>
            <w:r w:rsidR="000D207F" w:rsidRPr="003C314E">
              <w:rPr>
                <w:color w:val="C00000"/>
                <w:sz w:val="18"/>
                <w:szCs w:val="18"/>
              </w:rPr>
              <w:t>[4.106.4.2</w:t>
            </w:r>
            <w:r w:rsidR="007A477E" w:rsidRPr="003C314E">
              <w:rPr>
                <w:color w:val="C00000"/>
                <w:sz w:val="18"/>
                <w:szCs w:val="18"/>
              </w:rPr>
              <w:t>.2</w:t>
            </w:r>
            <w:r w:rsidR="000D207F" w:rsidRPr="003C314E">
              <w:rPr>
                <w:color w:val="C00000"/>
                <w:sz w:val="18"/>
                <w:szCs w:val="18"/>
              </w:rPr>
              <w:t>]</w:t>
            </w:r>
            <w:r w:rsidR="00966BB4" w:rsidRPr="003C314E">
              <w:rPr>
                <w:b/>
                <w:color w:val="C00000"/>
                <w:sz w:val="18"/>
                <w:szCs w:val="18"/>
              </w:rPr>
              <w:t>:</w:t>
            </w:r>
          </w:p>
          <w:p w14:paraId="297F307F" w14:textId="77777777" w:rsidR="00B967CA" w:rsidRPr="003C314E" w:rsidRDefault="00B967CA" w:rsidP="002C55B5">
            <w:pPr>
              <w:widowControl w:val="0"/>
              <w:rPr>
                <w:b/>
                <w:color w:val="C00000"/>
                <w:sz w:val="18"/>
                <w:szCs w:val="18"/>
              </w:rPr>
            </w:pPr>
          </w:p>
          <w:p w14:paraId="502E13BE" w14:textId="59C1AD04" w:rsidR="005172EC" w:rsidRPr="003C314E" w:rsidRDefault="003C4A5D" w:rsidP="007A477E">
            <w:pPr>
              <w:pStyle w:val="ListParagraph"/>
              <w:widowControl w:val="0"/>
              <w:numPr>
                <w:ilvl w:val="0"/>
                <w:numId w:val="13"/>
              </w:numPr>
              <w:ind w:hanging="222"/>
              <w:rPr>
                <w:b/>
                <w:bCs/>
                <w:color w:val="C00000"/>
                <w:sz w:val="18"/>
                <w:szCs w:val="18"/>
              </w:rPr>
            </w:pPr>
            <w:r w:rsidRPr="003C314E">
              <w:rPr>
                <w:b/>
                <w:bCs/>
                <w:color w:val="C00000"/>
                <w:sz w:val="18"/>
                <w:szCs w:val="18"/>
              </w:rPr>
              <w:t xml:space="preserve">EV ready parking spaces with receptacles. </w:t>
            </w:r>
          </w:p>
          <w:p w14:paraId="7904E068" w14:textId="2355A8D2" w:rsidR="003C4A5D" w:rsidRPr="003C314E" w:rsidRDefault="003C4A5D" w:rsidP="007A477E">
            <w:pPr>
              <w:pStyle w:val="ListParagraph"/>
              <w:widowControl w:val="0"/>
              <w:numPr>
                <w:ilvl w:val="0"/>
                <w:numId w:val="19"/>
              </w:numPr>
              <w:ind w:left="720"/>
              <w:rPr>
                <w:color w:val="C00000"/>
                <w:sz w:val="18"/>
                <w:szCs w:val="18"/>
              </w:rPr>
            </w:pPr>
            <w:r w:rsidRPr="003C314E">
              <w:rPr>
                <w:b/>
                <w:bCs/>
                <w:color w:val="C00000"/>
                <w:sz w:val="18"/>
                <w:szCs w:val="18"/>
              </w:rPr>
              <w:t>Hotels and motels</w:t>
            </w:r>
            <w:r w:rsidRPr="003C314E">
              <w:rPr>
                <w:color w:val="C00000"/>
                <w:sz w:val="18"/>
                <w:szCs w:val="18"/>
              </w:rPr>
              <w:t xml:space="preserve">. 40 % of the total number of parking spaces shall be </w:t>
            </w:r>
            <w:r w:rsidRPr="003C314E">
              <w:rPr>
                <w:color w:val="C00000"/>
                <w:sz w:val="18"/>
                <w:szCs w:val="18"/>
              </w:rPr>
              <w:lastRenderedPageBreak/>
              <w:t xml:space="preserve">equipped with low power Level 2 EV charging receptacles. </w:t>
            </w:r>
          </w:p>
          <w:p w14:paraId="2DAB0214" w14:textId="77777777" w:rsidR="003C4A5D" w:rsidRPr="003C314E" w:rsidRDefault="003C4A5D" w:rsidP="007A477E">
            <w:pPr>
              <w:pStyle w:val="ListParagraph"/>
              <w:widowControl w:val="0"/>
              <w:rPr>
                <w:color w:val="C00000"/>
                <w:sz w:val="18"/>
                <w:szCs w:val="18"/>
              </w:rPr>
            </w:pPr>
          </w:p>
          <w:p w14:paraId="5C14758C" w14:textId="6C93DADA" w:rsidR="003C4A5D" w:rsidRPr="003C314E" w:rsidRDefault="003C4A5D" w:rsidP="007A477E">
            <w:pPr>
              <w:pStyle w:val="ListParagraph"/>
              <w:widowControl w:val="0"/>
              <w:numPr>
                <w:ilvl w:val="0"/>
                <w:numId w:val="19"/>
              </w:numPr>
              <w:ind w:left="720"/>
              <w:rPr>
                <w:b/>
                <w:bCs/>
                <w:color w:val="C00000"/>
                <w:sz w:val="18"/>
                <w:szCs w:val="18"/>
              </w:rPr>
            </w:pPr>
            <w:r w:rsidRPr="003C314E">
              <w:rPr>
                <w:b/>
                <w:bCs/>
                <w:color w:val="C00000"/>
                <w:sz w:val="18"/>
                <w:szCs w:val="18"/>
              </w:rPr>
              <w:t xml:space="preserve">Multifamily parking facilities. </w:t>
            </w:r>
            <w:r w:rsidRPr="003C314E">
              <w:rPr>
                <w:color w:val="C00000"/>
                <w:sz w:val="18"/>
                <w:szCs w:val="18"/>
              </w:rPr>
              <w:t xml:space="preserve">40 % of the total number of parking spaces shall be equipped with low power Level 2 EV charging receptacles. EV charging receptacles required by this section shall be located in at least one assigned parking space per dwelling unit where assigned parking is provided but need not exceed 40% of the total number of assigned parking spaces provided on the site. </w:t>
            </w:r>
          </w:p>
          <w:p w14:paraId="4F0A2899" w14:textId="77777777" w:rsidR="003C4A5D" w:rsidRPr="003C314E" w:rsidRDefault="003C4A5D" w:rsidP="003C4A5D">
            <w:pPr>
              <w:pStyle w:val="ListParagraph"/>
              <w:rPr>
                <w:b/>
                <w:bCs/>
                <w:color w:val="C00000"/>
                <w:sz w:val="18"/>
                <w:szCs w:val="18"/>
              </w:rPr>
            </w:pPr>
          </w:p>
          <w:p w14:paraId="6ADED3BF" w14:textId="2E6AF0AA" w:rsidR="003C4A5D" w:rsidRPr="003C314E" w:rsidRDefault="003C4A5D" w:rsidP="003C4A5D">
            <w:pPr>
              <w:widowControl w:val="0"/>
              <w:ind w:left="1080"/>
              <w:rPr>
                <w:color w:val="C00000"/>
                <w:sz w:val="18"/>
                <w:szCs w:val="18"/>
              </w:rPr>
            </w:pPr>
            <w:r w:rsidRPr="003C314E">
              <w:rPr>
                <w:b/>
                <w:bCs/>
                <w:color w:val="C00000"/>
                <w:sz w:val="18"/>
                <w:szCs w:val="18"/>
              </w:rPr>
              <w:t xml:space="preserve">Exception: </w:t>
            </w:r>
            <w:r w:rsidRPr="003C314E">
              <w:rPr>
                <w:color w:val="C00000"/>
                <w:sz w:val="18"/>
                <w:szCs w:val="18"/>
              </w:rPr>
              <w:t>Areas of parking facilities served by parking lifts</w:t>
            </w:r>
            <w:r w:rsidR="007A477E" w:rsidRPr="003C314E">
              <w:rPr>
                <w:color w:val="C00000"/>
                <w:sz w:val="18"/>
                <w:szCs w:val="18"/>
              </w:rPr>
              <w:t xml:space="preserve">, including but not limited to automated mechanical-access open parking garages as defined in the California Building Code; or parking facilities otherwise incapable od supporting electric vehicle charging. </w:t>
            </w:r>
          </w:p>
          <w:p w14:paraId="55192473" w14:textId="77777777" w:rsidR="007A477E" w:rsidRPr="003C314E" w:rsidRDefault="007A477E" w:rsidP="003C4A5D">
            <w:pPr>
              <w:widowControl w:val="0"/>
              <w:ind w:left="1080"/>
              <w:rPr>
                <w:color w:val="C00000"/>
                <w:sz w:val="18"/>
                <w:szCs w:val="18"/>
              </w:rPr>
            </w:pPr>
          </w:p>
          <w:p w14:paraId="2D363564" w14:textId="4EB9009C" w:rsidR="007A477E" w:rsidRPr="003C314E" w:rsidRDefault="007A477E" w:rsidP="00E9408F">
            <w:pPr>
              <w:pStyle w:val="ListParagraph"/>
              <w:widowControl w:val="0"/>
              <w:numPr>
                <w:ilvl w:val="0"/>
                <w:numId w:val="19"/>
              </w:numPr>
              <w:ind w:left="678"/>
              <w:rPr>
                <w:color w:val="C00000"/>
                <w:sz w:val="18"/>
                <w:szCs w:val="18"/>
              </w:rPr>
            </w:pPr>
            <w:r w:rsidRPr="003C314E">
              <w:rPr>
                <w:b/>
                <w:bCs/>
                <w:color w:val="C00000"/>
                <w:sz w:val="18"/>
                <w:szCs w:val="18"/>
              </w:rPr>
              <w:t xml:space="preserve">Receptacle power source. </w:t>
            </w:r>
            <w:r w:rsidR="003E56FA" w:rsidRPr="003C314E">
              <w:rPr>
                <w:color w:val="C00000"/>
                <w:sz w:val="18"/>
                <w:szCs w:val="18"/>
              </w:rPr>
              <w:t xml:space="preserve">EV charging </w:t>
            </w:r>
            <w:r w:rsidR="00E9408F" w:rsidRPr="003C314E">
              <w:rPr>
                <w:color w:val="C00000"/>
                <w:sz w:val="18"/>
                <w:szCs w:val="18"/>
              </w:rPr>
              <w:t xml:space="preserve">receptacles in multifamily parking facilities shall be provided with a dedicated branch circuit  connected to the dwelling unit’s electrical panel, unless determined as infeasible by the project builder or designer and subject to concurrence of the local enforcing agency. </w:t>
            </w:r>
          </w:p>
          <w:p w14:paraId="2C5C208B" w14:textId="77777777" w:rsidR="007A477E" w:rsidRPr="003C314E" w:rsidRDefault="007A477E" w:rsidP="003C4A5D">
            <w:pPr>
              <w:widowControl w:val="0"/>
              <w:ind w:left="1080"/>
              <w:rPr>
                <w:color w:val="C00000"/>
                <w:sz w:val="18"/>
                <w:szCs w:val="18"/>
              </w:rPr>
            </w:pPr>
          </w:p>
          <w:p w14:paraId="4D85D8BB" w14:textId="4CB15A3F" w:rsidR="00B67489" w:rsidRPr="003C314E" w:rsidRDefault="00B67489" w:rsidP="003C4A5D">
            <w:pPr>
              <w:widowControl w:val="0"/>
              <w:ind w:left="1080"/>
              <w:rPr>
                <w:color w:val="C00000"/>
                <w:sz w:val="18"/>
                <w:szCs w:val="18"/>
              </w:rPr>
            </w:pPr>
            <w:r w:rsidRPr="003C314E">
              <w:rPr>
                <w:b/>
                <w:bCs/>
                <w:color w:val="C00000"/>
                <w:sz w:val="18"/>
                <w:szCs w:val="18"/>
              </w:rPr>
              <w:t xml:space="preserve">Exception: </w:t>
            </w:r>
            <w:r w:rsidRPr="003C314E">
              <w:rPr>
                <w:color w:val="C00000"/>
                <w:sz w:val="18"/>
                <w:szCs w:val="18"/>
              </w:rPr>
              <w:t xml:space="preserve">Areas of parking facilities served by parking lifts, including but not limited to automated mechanical-access open parking garages as defined in the California Building Code; or parking facilities otherwise incapable </w:t>
            </w:r>
            <w:r w:rsidR="00B967CA" w:rsidRPr="003C314E">
              <w:rPr>
                <w:color w:val="C00000"/>
                <w:sz w:val="18"/>
                <w:szCs w:val="18"/>
              </w:rPr>
              <w:t>of</w:t>
            </w:r>
            <w:r w:rsidRPr="003C314E">
              <w:rPr>
                <w:color w:val="C00000"/>
                <w:sz w:val="18"/>
                <w:szCs w:val="18"/>
              </w:rPr>
              <w:t xml:space="preserve"> supporting electric vehicle charging.</w:t>
            </w:r>
          </w:p>
          <w:p w14:paraId="5E859CDC" w14:textId="77777777" w:rsidR="00B967CA" w:rsidRPr="003C314E" w:rsidRDefault="00B967CA" w:rsidP="003C4A5D">
            <w:pPr>
              <w:widowControl w:val="0"/>
              <w:ind w:left="1080"/>
              <w:rPr>
                <w:color w:val="C00000"/>
                <w:sz w:val="18"/>
                <w:szCs w:val="18"/>
              </w:rPr>
            </w:pPr>
          </w:p>
          <w:p w14:paraId="54CD7802" w14:textId="581BBA11" w:rsidR="00B967CA" w:rsidRPr="003C314E" w:rsidRDefault="00B967CA" w:rsidP="00B967CA">
            <w:pPr>
              <w:pStyle w:val="ListParagraph"/>
              <w:widowControl w:val="0"/>
              <w:numPr>
                <w:ilvl w:val="0"/>
                <w:numId w:val="19"/>
              </w:numPr>
              <w:rPr>
                <w:color w:val="C00000"/>
                <w:sz w:val="18"/>
                <w:szCs w:val="18"/>
              </w:rPr>
            </w:pPr>
            <w:r w:rsidRPr="003C314E">
              <w:rPr>
                <w:b/>
                <w:bCs/>
                <w:color w:val="C00000"/>
                <w:sz w:val="18"/>
                <w:szCs w:val="18"/>
              </w:rPr>
              <w:t>Receptacles configurations.</w:t>
            </w:r>
            <w:r w:rsidRPr="003C314E">
              <w:rPr>
                <w:color w:val="C00000"/>
                <w:sz w:val="18"/>
                <w:szCs w:val="18"/>
              </w:rPr>
              <w:t xml:space="preserve"> 208/240V EV charging receptacle shall comply with one of the following configurations:</w:t>
            </w:r>
          </w:p>
          <w:p w14:paraId="28E2B4F5" w14:textId="0F02FE71" w:rsidR="00B967CA" w:rsidRPr="003C314E" w:rsidRDefault="00B967CA" w:rsidP="00B967CA">
            <w:pPr>
              <w:pStyle w:val="ListParagraph"/>
              <w:widowControl w:val="0"/>
              <w:numPr>
                <w:ilvl w:val="1"/>
                <w:numId w:val="19"/>
              </w:numPr>
              <w:rPr>
                <w:color w:val="C00000"/>
                <w:sz w:val="18"/>
                <w:szCs w:val="18"/>
              </w:rPr>
            </w:pPr>
            <w:r w:rsidRPr="003C314E">
              <w:rPr>
                <w:color w:val="C00000"/>
                <w:sz w:val="18"/>
                <w:szCs w:val="18"/>
              </w:rPr>
              <w:t>For 20-ampere receptacles, NEMA 6-20R</w:t>
            </w:r>
          </w:p>
          <w:p w14:paraId="070BB33A" w14:textId="2AED45F0" w:rsidR="00B967CA" w:rsidRPr="003C314E" w:rsidRDefault="00B967CA" w:rsidP="00B967CA">
            <w:pPr>
              <w:pStyle w:val="ListParagraph"/>
              <w:widowControl w:val="0"/>
              <w:numPr>
                <w:ilvl w:val="1"/>
                <w:numId w:val="19"/>
              </w:numPr>
              <w:rPr>
                <w:color w:val="C00000"/>
                <w:sz w:val="18"/>
                <w:szCs w:val="18"/>
              </w:rPr>
            </w:pPr>
            <w:r w:rsidRPr="003C314E">
              <w:rPr>
                <w:color w:val="C00000"/>
                <w:sz w:val="18"/>
                <w:szCs w:val="18"/>
              </w:rPr>
              <w:t>For 30-ampere receptacles, NEMA 14-30R</w:t>
            </w:r>
          </w:p>
          <w:p w14:paraId="14CFC672" w14:textId="7FBC148C" w:rsidR="00B967CA" w:rsidRPr="003C314E" w:rsidRDefault="00B967CA" w:rsidP="00B967CA">
            <w:pPr>
              <w:pStyle w:val="ListParagraph"/>
              <w:widowControl w:val="0"/>
              <w:numPr>
                <w:ilvl w:val="1"/>
                <w:numId w:val="19"/>
              </w:numPr>
              <w:rPr>
                <w:color w:val="C00000"/>
                <w:sz w:val="18"/>
                <w:szCs w:val="18"/>
              </w:rPr>
            </w:pPr>
            <w:r w:rsidRPr="003C314E">
              <w:rPr>
                <w:color w:val="C00000"/>
                <w:sz w:val="18"/>
                <w:szCs w:val="18"/>
              </w:rPr>
              <w:t>For 50-ampere receptacles, NEMA 14-50R</w:t>
            </w:r>
          </w:p>
          <w:p w14:paraId="38819A93" w14:textId="77777777" w:rsidR="000A5827" w:rsidRPr="003C314E" w:rsidRDefault="000A5827" w:rsidP="00B967CA">
            <w:pPr>
              <w:pStyle w:val="ListParagraph"/>
              <w:widowControl w:val="0"/>
              <w:ind w:left="1080"/>
              <w:rPr>
                <w:color w:val="C00000"/>
                <w:sz w:val="18"/>
                <w:szCs w:val="18"/>
              </w:rPr>
            </w:pPr>
          </w:p>
          <w:p w14:paraId="07A87EB7" w14:textId="77777777" w:rsidR="00B967CA" w:rsidRPr="003C314E" w:rsidRDefault="00B967CA" w:rsidP="00B967CA">
            <w:pPr>
              <w:pStyle w:val="ListParagraph"/>
              <w:widowControl w:val="0"/>
              <w:numPr>
                <w:ilvl w:val="0"/>
                <w:numId w:val="13"/>
              </w:numPr>
              <w:ind w:hanging="222"/>
              <w:rPr>
                <w:b/>
                <w:bCs/>
                <w:color w:val="C00000"/>
                <w:sz w:val="18"/>
                <w:szCs w:val="18"/>
              </w:rPr>
            </w:pPr>
            <w:r w:rsidRPr="003C314E">
              <w:rPr>
                <w:b/>
                <w:bCs/>
                <w:color w:val="C00000"/>
                <w:sz w:val="18"/>
                <w:szCs w:val="18"/>
              </w:rPr>
              <w:t>EV ready parking spaces with EV Chargers.</w:t>
            </w:r>
          </w:p>
          <w:p w14:paraId="15D07FD9" w14:textId="1077D560" w:rsidR="00104FBB" w:rsidRPr="003C314E" w:rsidRDefault="00B967CA" w:rsidP="00B967CA">
            <w:pPr>
              <w:pStyle w:val="ListParagraph"/>
              <w:widowControl w:val="0"/>
              <w:numPr>
                <w:ilvl w:val="0"/>
                <w:numId w:val="20"/>
              </w:numPr>
              <w:rPr>
                <w:b/>
                <w:bCs/>
                <w:color w:val="C00000"/>
                <w:sz w:val="18"/>
                <w:szCs w:val="18"/>
              </w:rPr>
            </w:pPr>
            <w:r w:rsidRPr="003C314E">
              <w:rPr>
                <w:b/>
                <w:bCs/>
                <w:color w:val="C00000"/>
                <w:sz w:val="18"/>
                <w:szCs w:val="18"/>
              </w:rPr>
              <w:t xml:space="preserve">Hotels and Motels. </w:t>
            </w:r>
            <w:r w:rsidRPr="003C314E">
              <w:rPr>
                <w:color w:val="C00000"/>
                <w:sz w:val="18"/>
                <w:szCs w:val="18"/>
              </w:rPr>
              <w:t>10 % of the total number of parking spaces shall be equipped with Level 2 EV charg</w:t>
            </w:r>
            <w:r w:rsidR="00104FBB" w:rsidRPr="003C314E">
              <w:rPr>
                <w:color w:val="C00000"/>
                <w:sz w:val="18"/>
                <w:szCs w:val="18"/>
              </w:rPr>
              <w:t>ers</w:t>
            </w:r>
            <w:r w:rsidRPr="003C314E">
              <w:rPr>
                <w:color w:val="C00000"/>
                <w:sz w:val="18"/>
                <w:szCs w:val="18"/>
              </w:rPr>
              <w:t>.</w:t>
            </w:r>
            <w:r w:rsidR="00104FBB" w:rsidRPr="003C314E">
              <w:rPr>
                <w:color w:val="C00000"/>
                <w:sz w:val="18"/>
                <w:szCs w:val="18"/>
              </w:rPr>
              <w:t xml:space="preserve"> At least 50% of the required EV chargers shall be equipped with J1772 connectors.</w:t>
            </w:r>
          </w:p>
          <w:p w14:paraId="18A3D961" w14:textId="477605FC" w:rsidR="00B967CA" w:rsidRPr="003C314E" w:rsidRDefault="00104FBB" w:rsidP="00104FBB">
            <w:pPr>
              <w:pStyle w:val="ListParagraph"/>
              <w:widowControl w:val="0"/>
              <w:rPr>
                <w:b/>
                <w:bCs/>
                <w:color w:val="C00000"/>
                <w:sz w:val="18"/>
                <w:szCs w:val="18"/>
              </w:rPr>
            </w:pPr>
            <w:r w:rsidRPr="003C314E">
              <w:rPr>
                <w:color w:val="C00000"/>
                <w:sz w:val="18"/>
                <w:szCs w:val="18"/>
              </w:rPr>
              <w:t xml:space="preserve"> </w:t>
            </w:r>
          </w:p>
          <w:p w14:paraId="398ABAEE" w14:textId="50CCF11B" w:rsidR="00104FBB" w:rsidRPr="003C314E" w:rsidRDefault="00104FBB" w:rsidP="00104FBB">
            <w:pPr>
              <w:pStyle w:val="ListParagraph"/>
              <w:widowControl w:val="0"/>
              <w:numPr>
                <w:ilvl w:val="0"/>
                <w:numId w:val="20"/>
              </w:numPr>
              <w:rPr>
                <w:b/>
                <w:bCs/>
                <w:color w:val="C00000"/>
                <w:sz w:val="18"/>
                <w:szCs w:val="18"/>
              </w:rPr>
            </w:pPr>
            <w:r w:rsidRPr="003C314E">
              <w:rPr>
                <w:b/>
                <w:bCs/>
                <w:color w:val="C00000"/>
                <w:sz w:val="18"/>
                <w:szCs w:val="18"/>
              </w:rPr>
              <w:t xml:space="preserve">Multifamily parking facilities.  </w:t>
            </w:r>
            <w:r w:rsidRPr="003C314E">
              <w:rPr>
                <w:color w:val="C00000"/>
                <w:sz w:val="18"/>
                <w:szCs w:val="18"/>
              </w:rPr>
              <w:t xml:space="preserve">10 % of the total number of parking spaces shall be equipped with Level 2 EV chargers. At least 50%of the required EV chargers shall be equipped with J1772 connectors. Where common use parking or unassigned parking is provided, EV chargers shall be located in common use or unassigned parking areas and shall be available for use by all residents or guests. </w:t>
            </w:r>
          </w:p>
          <w:p w14:paraId="526FD59B" w14:textId="77777777" w:rsidR="0043199F" w:rsidRPr="003C314E" w:rsidRDefault="0043199F" w:rsidP="0043199F">
            <w:pPr>
              <w:widowControl w:val="0"/>
              <w:rPr>
                <w:b/>
                <w:bCs/>
                <w:color w:val="C00000"/>
                <w:sz w:val="18"/>
                <w:szCs w:val="18"/>
              </w:rPr>
            </w:pPr>
          </w:p>
          <w:p w14:paraId="23BEE801" w14:textId="70F75A2C" w:rsidR="00104FBB" w:rsidRPr="003C314E" w:rsidRDefault="00104FBB" w:rsidP="00104FBB">
            <w:pPr>
              <w:pStyle w:val="ListParagraph"/>
              <w:rPr>
                <w:color w:val="C00000"/>
                <w:sz w:val="18"/>
                <w:szCs w:val="18"/>
              </w:rPr>
            </w:pPr>
            <w:r w:rsidRPr="003C314E">
              <w:rPr>
                <w:color w:val="C00000"/>
                <w:sz w:val="18"/>
                <w:szCs w:val="18"/>
              </w:rPr>
              <w:t xml:space="preserve">Where </w:t>
            </w:r>
            <w:r w:rsidR="0043199F" w:rsidRPr="003C314E">
              <w:rPr>
                <w:color w:val="C00000"/>
                <w:sz w:val="18"/>
                <w:szCs w:val="18"/>
              </w:rPr>
              <w:t xml:space="preserve">low power level 2 EV charging receptacles or Level 2 chargers are installed beyond the minimum required,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capacity of not less than 30 amperes. </w:t>
            </w:r>
          </w:p>
          <w:p w14:paraId="76F40031" w14:textId="333902B1" w:rsidR="00104FBB" w:rsidRPr="003C314E" w:rsidRDefault="00104FBB" w:rsidP="00104FBB">
            <w:pPr>
              <w:widowControl w:val="0"/>
              <w:rPr>
                <w:b/>
                <w:bCs/>
                <w:color w:val="C00000"/>
                <w:sz w:val="18"/>
                <w:szCs w:val="18"/>
              </w:rPr>
            </w:pPr>
          </w:p>
        </w:tc>
        <w:tc>
          <w:tcPr>
            <w:tcW w:w="1620" w:type="dxa"/>
            <w:tcBorders>
              <w:top w:val="single" w:sz="2" w:space="0" w:color="auto"/>
              <w:left w:val="single" w:sz="2" w:space="0" w:color="auto"/>
              <w:bottom w:val="single" w:sz="2" w:space="0" w:color="auto"/>
              <w:right w:val="single" w:sz="2" w:space="0" w:color="auto"/>
            </w:tcBorders>
          </w:tcPr>
          <w:p w14:paraId="09B85F47" w14:textId="77777777" w:rsidR="00B17AFF" w:rsidRPr="003C314E" w:rsidRDefault="00B17AFF">
            <w:pPr>
              <w:rPr>
                <w:color w:val="C00000"/>
                <w:sz w:val="18"/>
                <w:szCs w:val="18"/>
              </w:rPr>
            </w:pPr>
          </w:p>
        </w:tc>
      </w:tr>
      <w:tr w:rsidR="008174D5" w:rsidRPr="000528C9" w14:paraId="191894F0" w14:textId="77777777" w:rsidTr="008174D5">
        <w:trPr>
          <w:trHeight w:val="229"/>
        </w:trPr>
        <w:tc>
          <w:tcPr>
            <w:tcW w:w="720" w:type="dxa"/>
            <w:tcBorders>
              <w:top w:val="single" w:sz="2" w:space="0" w:color="auto"/>
              <w:left w:val="single" w:sz="2" w:space="0" w:color="auto"/>
              <w:bottom w:val="single" w:sz="2" w:space="0" w:color="auto"/>
              <w:right w:val="single" w:sz="2" w:space="0" w:color="auto"/>
            </w:tcBorders>
          </w:tcPr>
          <w:p w14:paraId="61B75510" w14:textId="27BE2FA3" w:rsidR="008174D5" w:rsidRPr="000528C9" w:rsidRDefault="008174D5">
            <w:pPr>
              <w:rPr>
                <w:sz w:val="18"/>
                <w:szCs w:val="18"/>
              </w:rPr>
            </w:pPr>
            <w:r w:rsidRPr="000528C9">
              <w:rPr>
                <w:sz w:val="18"/>
                <w:szCs w:val="18"/>
              </w:rPr>
              <w:t>1</w:t>
            </w:r>
            <w:r w:rsidR="00BB060B">
              <w:rPr>
                <w:sz w:val="18"/>
                <w:szCs w:val="18"/>
              </w:rPr>
              <w:t>6</w:t>
            </w:r>
          </w:p>
        </w:tc>
        <w:tc>
          <w:tcPr>
            <w:tcW w:w="810" w:type="dxa"/>
            <w:tcBorders>
              <w:top w:val="single" w:sz="2" w:space="0" w:color="auto"/>
              <w:left w:val="single" w:sz="2" w:space="0" w:color="auto"/>
              <w:bottom w:val="single" w:sz="2" w:space="0" w:color="auto"/>
              <w:right w:val="single" w:sz="2" w:space="0" w:color="auto"/>
            </w:tcBorders>
          </w:tcPr>
          <w:p w14:paraId="5147272C" w14:textId="77777777" w:rsidR="008174D5" w:rsidRPr="000528C9" w:rsidRDefault="008174D5">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F093977" w14:textId="629DD819" w:rsidR="00BC3DF4" w:rsidRPr="000528C9" w:rsidRDefault="00BC3DF4" w:rsidP="00BC3DF4">
            <w:pPr>
              <w:widowControl w:val="0"/>
              <w:rPr>
                <w:b/>
                <w:bCs/>
                <w:sz w:val="18"/>
                <w:szCs w:val="18"/>
              </w:rPr>
            </w:pPr>
            <w:r w:rsidRPr="000528C9">
              <w:rPr>
                <w:b/>
                <w:bCs/>
                <w:sz w:val="18"/>
                <w:szCs w:val="18"/>
              </w:rPr>
              <w:t>Electric Vehicle Charging Stations (EVCS)</w:t>
            </w:r>
            <w:r w:rsidR="004E01AF" w:rsidRPr="000528C9">
              <w:rPr>
                <w:b/>
                <w:bCs/>
                <w:sz w:val="18"/>
                <w:szCs w:val="18"/>
              </w:rPr>
              <w:t xml:space="preserve"> </w:t>
            </w:r>
            <w:r w:rsidR="004E01AF" w:rsidRPr="00431E45">
              <w:rPr>
                <w:sz w:val="18"/>
                <w:szCs w:val="18"/>
              </w:rPr>
              <w:t>[4.106.4.2.2.1]</w:t>
            </w:r>
            <w:r w:rsidR="004E01AF" w:rsidRPr="00431E45">
              <w:rPr>
                <w:b/>
                <w:bCs/>
                <w:sz w:val="18"/>
                <w:szCs w:val="18"/>
              </w:rPr>
              <w:t>:</w:t>
            </w:r>
            <w:r w:rsidR="004E01AF" w:rsidRPr="000528C9">
              <w:rPr>
                <w:b/>
                <w:bCs/>
                <w:sz w:val="18"/>
                <w:szCs w:val="18"/>
              </w:rPr>
              <w:t xml:space="preserve"> </w:t>
            </w:r>
          </w:p>
          <w:p w14:paraId="4A733EF9" w14:textId="77777777" w:rsidR="00B53556" w:rsidRPr="000528C9" w:rsidRDefault="00B53556" w:rsidP="00BC3DF4">
            <w:pPr>
              <w:widowControl w:val="0"/>
              <w:rPr>
                <w:b/>
                <w:bCs/>
                <w:sz w:val="18"/>
                <w:szCs w:val="18"/>
              </w:rPr>
            </w:pPr>
          </w:p>
          <w:p w14:paraId="0BB4FED9" w14:textId="58C02665" w:rsidR="00BC3DF4" w:rsidRDefault="00BC3DF4" w:rsidP="00BC3DF4">
            <w:pPr>
              <w:widowControl w:val="0"/>
              <w:rPr>
                <w:sz w:val="18"/>
                <w:szCs w:val="18"/>
              </w:rPr>
            </w:pPr>
            <w:r w:rsidRPr="000528C9">
              <w:rPr>
                <w:sz w:val="18"/>
                <w:szCs w:val="18"/>
              </w:rPr>
              <w:t xml:space="preserve">Electric vehicle charging stations required by Section 4.106.4.2.2, Item </w:t>
            </w:r>
            <w:r w:rsidR="00431E45" w:rsidRPr="003C314E">
              <w:rPr>
                <w:color w:val="C00000"/>
                <w:sz w:val="18"/>
                <w:szCs w:val="18"/>
              </w:rPr>
              <w:t>2</w:t>
            </w:r>
            <w:r w:rsidRPr="003C314E">
              <w:rPr>
                <w:color w:val="C00000"/>
                <w:sz w:val="18"/>
                <w:szCs w:val="18"/>
              </w:rPr>
              <w:t xml:space="preserve">, </w:t>
            </w:r>
            <w:r w:rsidR="00431E45" w:rsidRPr="003C314E">
              <w:rPr>
                <w:color w:val="C00000"/>
                <w:sz w:val="18"/>
                <w:szCs w:val="18"/>
              </w:rPr>
              <w:t>with EV Chargers installed</w:t>
            </w:r>
            <w:r w:rsidR="00431E45">
              <w:rPr>
                <w:sz w:val="18"/>
                <w:szCs w:val="18"/>
              </w:rPr>
              <w:t xml:space="preserve"> </w:t>
            </w:r>
            <w:r w:rsidRPr="000528C9">
              <w:rPr>
                <w:sz w:val="18"/>
                <w:szCs w:val="18"/>
              </w:rPr>
              <w:t xml:space="preserve">shall comply with </w:t>
            </w:r>
            <w:r w:rsidR="00212FCE" w:rsidRPr="000528C9">
              <w:rPr>
                <w:sz w:val="18"/>
                <w:szCs w:val="18"/>
              </w:rPr>
              <w:t>the following:</w:t>
            </w:r>
          </w:p>
          <w:p w14:paraId="0099D557" w14:textId="77777777" w:rsidR="00431E45" w:rsidRPr="000528C9" w:rsidRDefault="00431E45" w:rsidP="00BC3DF4">
            <w:pPr>
              <w:widowControl w:val="0"/>
              <w:rPr>
                <w:sz w:val="18"/>
                <w:szCs w:val="18"/>
              </w:rPr>
            </w:pPr>
          </w:p>
          <w:p w14:paraId="7D717E0B" w14:textId="77777777" w:rsidR="008174D5" w:rsidRPr="000528C9" w:rsidRDefault="00BC3DF4" w:rsidP="00BC3DF4">
            <w:pPr>
              <w:widowControl w:val="0"/>
              <w:rPr>
                <w:sz w:val="18"/>
                <w:szCs w:val="18"/>
              </w:rPr>
            </w:pPr>
            <w:r w:rsidRPr="000528C9">
              <w:rPr>
                <w:b/>
                <w:bCs/>
                <w:sz w:val="18"/>
                <w:szCs w:val="18"/>
              </w:rPr>
              <w:t>Exception:</w:t>
            </w:r>
            <w:r w:rsidRPr="000528C9">
              <w:rPr>
                <w:sz w:val="18"/>
                <w:szCs w:val="18"/>
              </w:rPr>
              <w:t xml:space="preserve"> Electric vehicle charging stations serving public accommodations, public housing, motels and hotels shall not be required to comply with this section. See California Building Code, Chapter 11B, for applicable requirements.</w:t>
            </w:r>
          </w:p>
          <w:p w14:paraId="66CACB3C" w14:textId="77777777" w:rsidR="00151483" w:rsidRPr="000528C9" w:rsidRDefault="00151483" w:rsidP="00BC3DF4">
            <w:pPr>
              <w:widowControl w:val="0"/>
              <w:rPr>
                <w:sz w:val="18"/>
                <w:szCs w:val="18"/>
              </w:rPr>
            </w:pPr>
          </w:p>
          <w:p w14:paraId="57D4EC95" w14:textId="5619FD41" w:rsidR="00151483" w:rsidRDefault="00F71D9E" w:rsidP="00151483">
            <w:pPr>
              <w:widowControl w:val="0"/>
              <w:rPr>
                <w:sz w:val="18"/>
                <w:szCs w:val="18"/>
              </w:rPr>
            </w:pPr>
            <w:r w:rsidRPr="003C314E">
              <w:rPr>
                <w:b/>
                <w:bCs/>
                <w:color w:val="C00000"/>
                <w:sz w:val="18"/>
                <w:szCs w:val="18"/>
              </w:rPr>
              <w:lastRenderedPageBreak/>
              <w:t xml:space="preserve">EVCS </w:t>
            </w:r>
            <w:r w:rsidR="003567F2" w:rsidRPr="003C314E">
              <w:rPr>
                <w:b/>
                <w:bCs/>
                <w:color w:val="C00000"/>
                <w:sz w:val="18"/>
                <w:szCs w:val="18"/>
              </w:rPr>
              <w:t>S</w:t>
            </w:r>
            <w:r w:rsidR="00431E45" w:rsidRPr="003C314E">
              <w:rPr>
                <w:b/>
                <w:bCs/>
                <w:color w:val="C00000"/>
                <w:sz w:val="18"/>
                <w:szCs w:val="18"/>
              </w:rPr>
              <w:t xml:space="preserve">paces </w:t>
            </w:r>
            <w:r w:rsidR="003567F2" w:rsidRPr="003C314E">
              <w:rPr>
                <w:b/>
                <w:bCs/>
                <w:color w:val="C00000"/>
                <w:sz w:val="18"/>
                <w:szCs w:val="18"/>
              </w:rPr>
              <w:t>W</w:t>
            </w:r>
            <w:r w:rsidR="00431E45" w:rsidRPr="003C314E">
              <w:rPr>
                <w:b/>
                <w:bCs/>
                <w:color w:val="C00000"/>
                <w:sz w:val="18"/>
                <w:szCs w:val="18"/>
              </w:rPr>
              <w:t xml:space="preserve">ith EV </w:t>
            </w:r>
            <w:r w:rsidR="003567F2" w:rsidRPr="003C314E">
              <w:rPr>
                <w:b/>
                <w:bCs/>
                <w:color w:val="C00000"/>
                <w:sz w:val="18"/>
                <w:szCs w:val="18"/>
              </w:rPr>
              <w:t>C</w:t>
            </w:r>
            <w:r w:rsidR="00431E45" w:rsidRPr="003C314E">
              <w:rPr>
                <w:b/>
                <w:bCs/>
                <w:color w:val="C00000"/>
                <w:sz w:val="18"/>
                <w:szCs w:val="18"/>
              </w:rPr>
              <w:t xml:space="preserve">hargers </w:t>
            </w:r>
            <w:r w:rsidR="003567F2" w:rsidRPr="003C314E">
              <w:rPr>
                <w:b/>
                <w:bCs/>
                <w:color w:val="C00000"/>
                <w:sz w:val="18"/>
                <w:szCs w:val="18"/>
              </w:rPr>
              <w:t>I</w:t>
            </w:r>
            <w:r w:rsidR="00431E45" w:rsidRPr="003C314E">
              <w:rPr>
                <w:b/>
                <w:bCs/>
                <w:color w:val="C00000"/>
                <w:sz w:val="18"/>
                <w:szCs w:val="18"/>
              </w:rPr>
              <w:t xml:space="preserve">nstalled; </w:t>
            </w:r>
            <w:r w:rsidR="003567F2" w:rsidRPr="003C314E">
              <w:rPr>
                <w:b/>
                <w:bCs/>
                <w:color w:val="C00000"/>
                <w:sz w:val="18"/>
                <w:szCs w:val="18"/>
              </w:rPr>
              <w:t>D</w:t>
            </w:r>
            <w:r w:rsidR="00431E45" w:rsidRPr="003C314E">
              <w:rPr>
                <w:b/>
                <w:bCs/>
                <w:color w:val="C00000"/>
                <w:sz w:val="18"/>
                <w:szCs w:val="18"/>
              </w:rPr>
              <w:t xml:space="preserve">imensions and </w:t>
            </w:r>
            <w:r w:rsidR="003567F2" w:rsidRPr="003C314E">
              <w:rPr>
                <w:b/>
                <w:bCs/>
                <w:color w:val="C00000"/>
                <w:sz w:val="18"/>
                <w:szCs w:val="18"/>
              </w:rPr>
              <w:t>L</w:t>
            </w:r>
            <w:r w:rsidR="00151483" w:rsidRPr="003C314E">
              <w:rPr>
                <w:b/>
                <w:bCs/>
                <w:color w:val="C00000"/>
                <w:sz w:val="18"/>
                <w:szCs w:val="18"/>
              </w:rPr>
              <w:t>ocation</w:t>
            </w:r>
            <w:r w:rsidR="00997680" w:rsidRPr="00431E45">
              <w:rPr>
                <w:b/>
                <w:bCs/>
                <w:color w:val="FF0000"/>
                <w:sz w:val="18"/>
                <w:szCs w:val="18"/>
              </w:rPr>
              <w:t xml:space="preserve"> </w:t>
            </w:r>
            <w:r w:rsidR="00997680" w:rsidRPr="00431E45">
              <w:rPr>
                <w:sz w:val="18"/>
                <w:szCs w:val="18"/>
              </w:rPr>
              <w:t>[</w:t>
            </w:r>
            <w:r w:rsidR="00A546D3" w:rsidRPr="00431E45">
              <w:rPr>
                <w:sz w:val="18"/>
                <w:szCs w:val="18"/>
              </w:rPr>
              <w:t>4.106.4.2.2.1.1]</w:t>
            </w:r>
            <w:r w:rsidR="004375B5">
              <w:rPr>
                <w:b/>
                <w:bCs/>
                <w:sz w:val="18"/>
                <w:szCs w:val="18"/>
              </w:rPr>
              <w:t xml:space="preserve">. </w:t>
            </w:r>
            <w:r w:rsidR="00151483" w:rsidRPr="003C314E">
              <w:rPr>
                <w:color w:val="C00000"/>
                <w:sz w:val="18"/>
                <w:szCs w:val="18"/>
              </w:rPr>
              <w:t xml:space="preserve">EVCS </w:t>
            </w:r>
            <w:r w:rsidR="00431E45" w:rsidRPr="003C314E">
              <w:rPr>
                <w:color w:val="C00000"/>
                <w:sz w:val="18"/>
                <w:szCs w:val="18"/>
              </w:rPr>
              <w:t xml:space="preserve">spaces </w:t>
            </w:r>
            <w:r w:rsidR="00151483" w:rsidRPr="000528C9">
              <w:rPr>
                <w:sz w:val="18"/>
                <w:szCs w:val="18"/>
              </w:rPr>
              <w:t xml:space="preserve">shall </w:t>
            </w:r>
            <w:r w:rsidR="00431E45">
              <w:rPr>
                <w:sz w:val="18"/>
                <w:szCs w:val="18"/>
              </w:rPr>
              <w:t xml:space="preserve">be designed to </w:t>
            </w:r>
            <w:r w:rsidR="00151483" w:rsidRPr="000528C9">
              <w:rPr>
                <w:sz w:val="18"/>
                <w:szCs w:val="18"/>
              </w:rPr>
              <w:t>comply with the following:</w:t>
            </w:r>
          </w:p>
          <w:p w14:paraId="07BE75D4" w14:textId="77777777" w:rsidR="004375B5" w:rsidRDefault="004375B5" w:rsidP="00151483">
            <w:pPr>
              <w:widowControl w:val="0"/>
              <w:rPr>
                <w:sz w:val="18"/>
                <w:szCs w:val="18"/>
              </w:rPr>
            </w:pPr>
          </w:p>
          <w:p w14:paraId="475D6A38" w14:textId="4F159450" w:rsidR="004375B5" w:rsidRPr="000528C9" w:rsidRDefault="004375B5" w:rsidP="004375B5">
            <w:pPr>
              <w:pStyle w:val="ListParagraph"/>
              <w:widowControl w:val="0"/>
              <w:numPr>
                <w:ilvl w:val="0"/>
                <w:numId w:val="16"/>
              </w:numPr>
              <w:rPr>
                <w:sz w:val="18"/>
                <w:szCs w:val="18"/>
              </w:rPr>
            </w:pPr>
            <w:r w:rsidRPr="000528C9">
              <w:rPr>
                <w:sz w:val="18"/>
                <w:szCs w:val="18"/>
              </w:rPr>
              <w:t xml:space="preserve">The minimum length of each </w:t>
            </w:r>
            <w:r w:rsidRPr="003C314E">
              <w:rPr>
                <w:color w:val="C00000"/>
                <w:sz w:val="18"/>
                <w:szCs w:val="18"/>
              </w:rPr>
              <w:t>EVCS</w:t>
            </w:r>
            <w:r w:rsidRPr="000528C9">
              <w:rPr>
                <w:sz w:val="18"/>
                <w:szCs w:val="18"/>
              </w:rPr>
              <w:t xml:space="preserve"> space shall be 18 feet.</w:t>
            </w:r>
          </w:p>
          <w:p w14:paraId="65C0B9D0" w14:textId="15B57B84" w:rsidR="004375B5" w:rsidRPr="000528C9" w:rsidRDefault="004375B5" w:rsidP="004375B5">
            <w:pPr>
              <w:pStyle w:val="ListParagraph"/>
              <w:widowControl w:val="0"/>
              <w:numPr>
                <w:ilvl w:val="0"/>
                <w:numId w:val="16"/>
              </w:numPr>
              <w:rPr>
                <w:sz w:val="18"/>
                <w:szCs w:val="18"/>
              </w:rPr>
            </w:pPr>
            <w:r w:rsidRPr="000528C9">
              <w:rPr>
                <w:sz w:val="18"/>
                <w:szCs w:val="18"/>
              </w:rPr>
              <w:t xml:space="preserve">The minimum width of each </w:t>
            </w:r>
            <w:r w:rsidRPr="003C314E">
              <w:rPr>
                <w:color w:val="C00000"/>
                <w:sz w:val="18"/>
                <w:szCs w:val="18"/>
              </w:rPr>
              <w:t>EVCS</w:t>
            </w:r>
            <w:r w:rsidRPr="000528C9">
              <w:rPr>
                <w:sz w:val="18"/>
                <w:szCs w:val="18"/>
              </w:rPr>
              <w:t xml:space="preserve"> space shall be 9 feet.</w:t>
            </w:r>
          </w:p>
          <w:p w14:paraId="2DA547BD" w14:textId="77777777" w:rsidR="004375B5" w:rsidRPr="000528C9" w:rsidRDefault="004375B5" w:rsidP="004375B5">
            <w:pPr>
              <w:pStyle w:val="ListParagraph"/>
              <w:widowControl w:val="0"/>
              <w:numPr>
                <w:ilvl w:val="0"/>
                <w:numId w:val="16"/>
              </w:numPr>
              <w:rPr>
                <w:sz w:val="18"/>
                <w:szCs w:val="18"/>
              </w:rPr>
            </w:pPr>
            <w:r w:rsidRPr="000528C9">
              <w:rPr>
                <w:sz w:val="18"/>
                <w:szCs w:val="18"/>
              </w:rPr>
              <w:t>One in every 25 charging spaces, but not less than one, shall also have an 8-foot wide minimum aisle. A 5-foot wide minimum aisle shall be permitted provided the minimum width of the EV space is 12 feet.</w:t>
            </w:r>
          </w:p>
          <w:p w14:paraId="4EA9B0C2" w14:textId="5EFC1F04" w:rsidR="004375B5" w:rsidRPr="000528C9" w:rsidRDefault="004375B5" w:rsidP="004375B5">
            <w:pPr>
              <w:pStyle w:val="ListParagraph"/>
              <w:widowControl w:val="0"/>
              <w:rPr>
                <w:sz w:val="18"/>
                <w:szCs w:val="18"/>
              </w:rPr>
            </w:pPr>
            <w:r w:rsidRPr="000528C9">
              <w:rPr>
                <w:sz w:val="18"/>
                <w:szCs w:val="18"/>
              </w:rPr>
              <w:t>Surface slope for this EV space and the aisle shall not exceed 1 unit vertical in 48 units horizontal (2.083 percent slope) in any direction.</w:t>
            </w:r>
            <w:r>
              <w:rPr>
                <w:sz w:val="18"/>
                <w:szCs w:val="18"/>
              </w:rPr>
              <w:t xml:space="preserve"> These EVCS spaces shall also comply with at least one of the following: </w:t>
            </w:r>
          </w:p>
          <w:p w14:paraId="6EF07FA8" w14:textId="59DD1713" w:rsidR="00151483" w:rsidRPr="000528C9" w:rsidRDefault="00151483" w:rsidP="004375B5">
            <w:pPr>
              <w:pStyle w:val="ListParagraph"/>
              <w:widowControl w:val="0"/>
              <w:numPr>
                <w:ilvl w:val="0"/>
                <w:numId w:val="22"/>
              </w:numPr>
              <w:rPr>
                <w:sz w:val="18"/>
                <w:szCs w:val="18"/>
              </w:rPr>
            </w:pPr>
            <w:r w:rsidRPr="000528C9">
              <w:rPr>
                <w:sz w:val="18"/>
                <w:szCs w:val="18"/>
              </w:rPr>
              <w:t xml:space="preserve">The </w:t>
            </w:r>
            <w:r w:rsidR="004375B5" w:rsidRPr="003C314E">
              <w:rPr>
                <w:color w:val="C00000"/>
                <w:sz w:val="18"/>
                <w:szCs w:val="18"/>
              </w:rPr>
              <w:t>EVCS</w:t>
            </w:r>
            <w:r w:rsidRPr="000528C9">
              <w:rPr>
                <w:sz w:val="18"/>
                <w:szCs w:val="18"/>
              </w:rPr>
              <w:t xml:space="preserve"> space shall be located adjacent to an accessible parking space meeting the requirements of the California Building Code, Chapter 11A, to allow use of the EV charger from the accessible parking space.</w:t>
            </w:r>
          </w:p>
          <w:p w14:paraId="0947C16E" w14:textId="3DC6B6A7" w:rsidR="00151483" w:rsidRDefault="00151483" w:rsidP="004375B5">
            <w:pPr>
              <w:pStyle w:val="ListParagraph"/>
              <w:widowControl w:val="0"/>
              <w:numPr>
                <w:ilvl w:val="0"/>
                <w:numId w:val="22"/>
              </w:numPr>
              <w:rPr>
                <w:sz w:val="18"/>
                <w:szCs w:val="18"/>
              </w:rPr>
            </w:pPr>
            <w:r w:rsidRPr="000528C9">
              <w:rPr>
                <w:sz w:val="18"/>
                <w:szCs w:val="18"/>
              </w:rPr>
              <w:t xml:space="preserve">The </w:t>
            </w:r>
            <w:r w:rsidR="004375B5" w:rsidRPr="003C314E">
              <w:rPr>
                <w:color w:val="C00000"/>
                <w:sz w:val="18"/>
                <w:szCs w:val="18"/>
              </w:rPr>
              <w:t>EVCS</w:t>
            </w:r>
            <w:r w:rsidRPr="000528C9">
              <w:rPr>
                <w:sz w:val="18"/>
                <w:szCs w:val="18"/>
              </w:rPr>
              <w:t xml:space="preserve"> space shall be located on an accessible route, as defined in the California Building Code, Chapter 2, to the building.</w:t>
            </w:r>
          </w:p>
          <w:p w14:paraId="7D531B4B" w14:textId="77777777" w:rsidR="004375B5" w:rsidRPr="000528C9" w:rsidRDefault="004375B5" w:rsidP="004375B5">
            <w:pPr>
              <w:pStyle w:val="ListParagraph"/>
              <w:widowControl w:val="0"/>
              <w:ind w:left="1080"/>
              <w:rPr>
                <w:sz w:val="18"/>
                <w:szCs w:val="18"/>
              </w:rPr>
            </w:pPr>
          </w:p>
          <w:p w14:paraId="1F75E7FD" w14:textId="1D9E7CE2" w:rsidR="00151483" w:rsidRPr="004375B5" w:rsidRDefault="00151483" w:rsidP="004375B5">
            <w:pPr>
              <w:widowControl w:val="0"/>
              <w:ind w:left="1080"/>
              <w:rPr>
                <w:sz w:val="18"/>
                <w:szCs w:val="18"/>
              </w:rPr>
            </w:pPr>
            <w:r w:rsidRPr="004375B5">
              <w:rPr>
                <w:b/>
                <w:bCs/>
                <w:sz w:val="18"/>
                <w:szCs w:val="18"/>
              </w:rPr>
              <w:t>Exception:</w:t>
            </w:r>
            <w:r w:rsidRPr="004375B5">
              <w:rPr>
                <w:sz w:val="18"/>
                <w:szCs w:val="18"/>
              </w:rPr>
              <w:t xml:space="preserve"> Electric vehicle charging stations designed and constructed in compliance with the California Building Code, Chapter 11B, are not required to comply with Section </w:t>
            </w:r>
            <w:r w:rsidR="004375B5">
              <w:rPr>
                <w:sz w:val="18"/>
                <w:szCs w:val="18"/>
              </w:rPr>
              <w:t>4</w:t>
            </w:r>
            <w:r w:rsidRPr="004375B5">
              <w:rPr>
                <w:sz w:val="18"/>
                <w:szCs w:val="18"/>
              </w:rPr>
              <w:t>.106.4.2.2.1.1</w:t>
            </w:r>
            <w:r w:rsidR="004375B5">
              <w:rPr>
                <w:sz w:val="18"/>
                <w:szCs w:val="18"/>
              </w:rPr>
              <w:t>.</w:t>
            </w:r>
          </w:p>
          <w:p w14:paraId="2FADB85D" w14:textId="77777777" w:rsidR="00A67444" w:rsidRPr="000528C9" w:rsidRDefault="00A67444" w:rsidP="003567F2">
            <w:pPr>
              <w:widowControl w:val="0"/>
              <w:rPr>
                <w:sz w:val="18"/>
                <w:szCs w:val="18"/>
              </w:rPr>
            </w:pPr>
          </w:p>
          <w:p w14:paraId="4ECC086A" w14:textId="36379D4D" w:rsidR="00A67444" w:rsidRPr="000528C9" w:rsidRDefault="009C7AB8" w:rsidP="00A67444">
            <w:pPr>
              <w:widowControl w:val="0"/>
              <w:rPr>
                <w:b/>
                <w:bCs/>
                <w:sz w:val="18"/>
                <w:szCs w:val="18"/>
              </w:rPr>
            </w:pPr>
            <w:r w:rsidRPr="000528C9">
              <w:rPr>
                <w:b/>
                <w:bCs/>
                <w:sz w:val="18"/>
                <w:szCs w:val="18"/>
              </w:rPr>
              <w:t xml:space="preserve">Accessible </w:t>
            </w:r>
            <w:r w:rsidR="003567F2" w:rsidRPr="003C314E">
              <w:rPr>
                <w:b/>
                <w:bCs/>
                <w:color w:val="C00000"/>
                <w:sz w:val="18"/>
                <w:szCs w:val="18"/>
              </w:rPr>
              <w:t>E</w:t>
            </w:r>
            <w:r w:rsidR="004375B5" w:rsidRPr="003C314E">
              <w:rPr>
                <w:b/>
                <w:bCs/>
                <w:color w:val="C00000"/>
                <w:sz w:val="18"/>
                <w:szCs w:val="18"/>
              </w:rPr>
              <w:t xml:space="preserve">lectric </w:t>
            </w:r>
            <w:r w:rsidR="003567F2" w:rsidRPr="003C314E">
              <w:rPr>
                <w:b/>
                <w:bCs/>
                <w:color w:val="C00000"/>
                <w:sz w:val="18"/>
                <w:szCs w:val="18"/>
              </w:rPr>
              <w:t>V</w:t>
            </w:r>
            <w:r w:rsidR="004375B5" w:rsidRPr="003C314E">
              <w:rPr>
                <w:b/>
                <w:bCs/>
                <w:color w:val="C00000"/>
                <w:sz w:val="18"/>
                <w:szCs w:val="18"/>
              </w:rPr>
              <w:t xml:space="preserve">ehicle </w:t>
            </w:r>
            <w:r w:rsidR="003567F2" w:rsidRPr="003C314E">
              <w:rPr>
                <w:b/>
                <w:bCs/>
                <w:color w:val="C00000"/>
                <w:sz w:val="18"/>
                <w:szCs w:val="18"/>
              </w:rPr>
              <w:t>C</w:t>
            </w:r>
            <w:r w:rsidR="004375B5" w:rsidRPr="003C314E">
              <w:rPr>
                <w:b/>
                <w:bCs/>
                <w:color w:val="C00000"/>
                <w:sz w:val="18"/>
                <w:szCs w:val="18"/>
              </w:rPr>
              <w:t xml:space="preserve">harging </w:t>
            </w:r>
            <w:r w:rsidR="003567F2" w:rsidRPr="003C314E">
              <w:rPr>
                <w:b/>
                <w:bCs/>
                <w:color w:val="C00000"/>
                <w:sz w:val="18"/>
                <w:szCs w:val="18"/>
              </w:rPr>
              <w:t>S</w:t>
            </w:r>
            <w:r w:rsidR="004375B5" w:rsidRPr="003C314E">
              <w:rPr>
                <w:b/>
                <w:bCs/>
                <w:color w:val="C00000"/>
                <w:sz w:val="18"/>
                <w:szCs w:val="18"/>
              </w:rPr>
              <w:t>tation</w:t>
            </w:r>
            <w:r w:rsidRPr="003C314E">
              <w:rPr>
                <w:b/>
                <w:bCs/>
                <w:color w:val="C00000"/>
                <w:sz w:val="18"/>
                <w:szCs w:val="18"/>
              </w:rPr>
              <w:t xml:space="preserve"> </w:t>
            </w:r>
            <w:r w:rsidR="003567F2">
              <w:rPr>
                <w:b/>
                <w:bCs/>
                <w:sz w:val="18"/>
                <w:szCs w:val="18"/>
              </w:rPr>
              <w:t>S</w:t>
            </w:r>
            <w:r w:rsidRPr="000528C9">
              <w:rPr>
                <w:b/>
                <w:bCs/>
                <w:sz w:val="18"/>
                <w:szCs w:val="18"/>
              </w:rPr>
              <w:t>paces [4.106.4.2.2.1.</w:t>
            </w:r>
            <w:r w:rsidR="003567F2" w:rsidRPr="003C314E">
              <w:rPr>
                <w:b/>
                <w:bCs/>
                <w:color w:val="C00000"/>
                <w:sz w:val="18"/>
                <w:szCs w:val="18"/>
              </w:rPr>
              <w:t>2</w:t>
            </w:r>
            <w:r w:rsidRPr="000528C9">
              <w:rPr>
                <w:b/>
                <w:bCs/>
                <w:sz w:val="18"/>
                <w:szCs w:val="18"/>
              </w:rPr>
              <w:t>]:</w:t>
            </w:r>
          </w:p>
          <w:p w14:paraId="72000B22" w14:textId="77777777" w:rsidR="00441F7C" w:rsidRDefault="005329F8" w:rsidP="00A67444">
            <w:pPr>
              <w:widowControl w:val="0"/>
              <w:rPr>
                <w:sz w:val="18"/>
                <w:szCs w:val="18"/>
              </w:rPr>
            </w:pPr>
            <w:r w:rsidRPr="000528C9">
              <w:rPr>
                <w:sz w:val="18"/>
                <w:szCs w:val="18"/>
              </w:rPr>
              <w:t xml:space="preserve">In addition to the requirements in Sections 4.106.4.2.2.1.1, all </w:t>
            </w:r>
            <w:r w:rsidRPr="003C314E">
              <w:rPr>
                <w:color w:val="C00000"/>
                <w:sz w:val="18"/>
                <w:szCs w:val="18"/>
              </w:rPr>
              <w:t>EV</w:t>
            </w:r>
            <w:r w:rsidR="003567F2" w:rsidRPr="003C314E">
              <w:rPr>
                <w:color w:val="C00000"/>
                <w:sz w:val="18"/>
                <w:szCs w:val="18"/>
              </w:rPr>
              <w:t xml:space="preserve"> chargers </w:t>
            </w:r>
            <w:r w:rsidRPr="003C314E">
              <w:rPr>
                <w:color w:val="C00000"/>
                <w:sz w:val="18"/>
                <w:szCs w:val="18"/>
              </w:rPr>
              <w:t>, whe</w:t>
            </w:r>
            <w:r w:rsidR="003567F2" w:rsidRPr="003C314E">
              <w:rPr>
                <w:color w:val="C00000"/>
                <w:sz w:val="18"/>
                <w:szCs w:val="18"/>
              </w:rPr>
              <w:t>re</w:t>
            </w:r>
            <w:r w:rsidRPr="003C314E">
              <w:rPr>
                <w:color w:val="C00000"/>
                <w:sz w:val="18"/>
                <w:szCs w:val="18"/>
              </w:rPr>
              <w:t xml:space="preserve"> </w:t>
            </w:r>
            <w:r w:rsidRPr="000528C9">
              <w:rPr>
                <w:sz w:val="18"/>
                <w:szCs w:val="18"/>
              </w:rPr>
              <w:t>installed, shall comply with the accessibility provisions for EV chargers in the California Building Code, Chapter 11B. EV ready spaces and EVCS in multifamily developments shall comply with California Building Code, Chapter 11A, Section 1109A.</w:t>
            </w:r>
          </w:p>
          <w:p w14:paraId="31B6A418" w14:textId="720997AD" w:rsidR="00255268" w:rsidRPr="000528C9" w:rsidRDefault="00255268" w:rsidP="00A67444">
            <w:pPr>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46C1EFC8" w14:textId="77777777" w:rsidR="008174D5" w:rsidRPr="000528C9" w:rsidRDefault="008174D5">
            <w:pPr>
              <w:rPr>
                <w:sz w:val="18"/>
                <w:szCs w:val="18"/>
              </w:rPr>
            </w:pPr>
          </w:p>
        </w:tc>
      </w:tr>
      <w:tr w:rsidR="009A01FC" w:rsidRPr="000528C9" w14:paraId="48E46309" w14:textId="77777777" w:rsidTr="00590239">
        <w:trPr>
          <w:trHeight w:val="175"/>
        </w:trPr>
        <w:tc>
          <w:tcPr>
            <w:tcW w:w="720" w:type="dxa"/>
            <w:tcBorders>
              <w:top w:val="single" w:sz="2" w:space="0" w:color="auto"/>
              <w:left w:val="single" w:sz="2" w:space="0" w:color="auto"/>
              <w:bottom w:val="single" w:sz="2" w:space="0" w:color="auto"/>
              <w:right w:val="single" w:sz="2" w:space="0" w:color="auto"/>
            </w:tcBorders>
          </w:tcPr>
          <w:p w14:paraId="114A9D8C" w14:textId="4BF71A64" w:rsidR="009A01FC" w:rsidRPr="000528C9" w:rsidRDefault="00BB060B">
            <w:pPr>
              <w:rPr>
                <w:sz w:val="18"/>
                <w:szCs w:val="18"/>
              </w:rPr>
            </w:pPr>
            <w:r>
              <w:rPr>
                <w:sz w:val="18"/>
                <w:szCs w:val="18"/>
              </w:rPr>
              <w:t>17</w:t>
            </w:r>
          </w:p>
        </w:tc>
        <w:tc>
          <w:tcPr>
            <w:tcW w:w="810" w:type="dxa"/>
            <w:tcBorders>
              <w:top w:val="single" w:sz="2" w:space="0" w:color="auto"/>
              <w:left w:val="single" w:sz="2" w:space="0" w:color="auto"/>
              <w:bottom w:val="single" w:sz="2" w:space="0" w:color="auto"/>
              <w:right w:val="single" w:sz="2" w:space="0" w:color="auto"/>
            </w:tcBorders>
          </w:tcPr>
          <w:p w14:paraId="768AADE5" w14:textId="77777777" w:rsidR="009A01FC" w:rsidRPr="000528C9" w:rsidRDefault="009A01F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C211237" w14:textId="77382439" w:rsidR="00957BC4" w:rsidRPr="000528C9" w:rsidRDefault="00957BC4" w:rsidP="009430D4">
            <w:pPr>
              <w:widowControl w:val="0"/>
              <w:rPr>
                <w:b/>
                <w:bCs/>
                <w:sz w:val="18"/>
                <w:szCs w:val="18"/>
              </w:rPr>
            </w:pPr>
            <w:r w:rsidRPr="000528C9">
              <w:rPr>
                <w:b/>
                <w:bCs/>
                <w:sz w:val="18"/>
                <w:szCs w:val="18"/>
              </w:rPr>
              <w:t>Electric Vehicle Ready Space Signage [4.106.4.2.5]:</w:t>
            </w:r>
          </w:p>
          <w:p w14:paraId="5F443624" w14:textId="77777777" w:rsidR="009A01FC" w:rsidRDefault="00957BC4" w:rsidP="009430D4">
            <w:pPr>
              <w:widowControl w:val="0"/>
              <w:rPr>
                <w:sz w:val="18"/>
                <w:szCs w:val="18"/>
              </w:rPr>
            </w:pPr>
            <w:r w:rsidRPr="000528C9">
              <w:rPr>
                <w:sz w:val="18"/>
                <w:szCs w:val="18"/>
              </w:rPr>
              <w:t>Electric vehicle ready spaces shall be identified by signage or pavement markings, in compliance with Caltrans Traffic Operations Policy Directive 13-01 (Zero Emission Vehicle Signs and Pavement Markings) or its successor(s).</w:t>
            </w:r>
          </w:p>
          <w:p w14:paraId="413E1736" w14:textId="4BC4C4BC" w:rsidR="00255268" w:rsidRPr="000528C9" w:rsidRDefault="00255268" w:rsidP="00957BC4">
            <w:pPr>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060D578D" w14:textId="77777777" w:rsidR="009A01FC" w:rsidRPr="000528C9" w:rsidRDefault="009A01FC">
            <w:pPr>
              <w:rPr>
                <w:sz w:val="18"/>
                <w:szCs w:val="18"/>
              </w:rPr>
            </w:pPr>
          </w:p>
        </w:tc>
      </w:tr>
      <w:tr w:rsidR="006A25C4" w:rsidRPr="000528C9" w14:paraId="3F6071AA" w14:textId="77777777" w:rsidTr="00590239">
        <w:trPr>
          <w:trHeight w:val="175"/>
        </w:trPr>
        <w:tc>
          <w:tcPr>
            <w:tcW w:w="720" w:type="dxa"/>
            <w:tcBorders>
              <w:top w:val="single" w:sz="2" w:space="0" w:color="auto"/>
              <w:left w:val="single" w:sz="2" w:space="0" w:color="auto"/>
              <w:bottom w:val="single" w:sz="2" w:space="0" w:color="auto"/>
              <w:right w:val="single" w:sz="2" w:space="0" w:color="auto"/>
            </w:tcBorders>
          </w:tcPr>
          <w:p w14:paraId="5199E4F7" w14:textId="5778AD03" w:rsidR="006A25C4" w:rsidRPr="000528C9" w:rsidRDefault="00BB060B">
            <w:pPr>
              <w:rPr>
                <w:sz w:val="18"/>
                <w:szCs w:val="18"/>
              </w:rPr>
            </w:pPr>
            <w:r>
              <w:rPr>
                <w:sz w:val="18"/>
                <w:szCs w:val="18"/>
              </w:rPr>
              <w:t>18</w:t>
            </w:r>
          </w:p>
        </w:tc>
        <w:tc>
          <w:tcPr>
            <w:tcW w:w="810" w:type="dxa"/>
            <w:tcBorders>
              <w:top w:val="single" w:sz="2" w:space="0" w:color="auto"/>
              <w:left w:val="single" w:sz="2" w:space="0" w:color="auto"/>
              <w:bottom w:val="single" w:sz="2" w:space="0" w:color="auto"/>
              <w:right w:val="single" w:sz="2" w:space="0" w:color="auto"/>
            </w:tcBorders>
          </w:tcPr>
          <w:p w14:paraId="17F1BCBD" w14:textId="77777777" w:rsidR="006A25C4" w:rsidRPr="000528C9" w:rsidRDefault="006A25C4">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BD82419" w14:textId="4185F7D8" w:rsidR="006D5038" w:rsidRPr="000528C9" w:rsidRDefault="006D5038" w:rsidP="006D5038">
            <w:pPr>
              <w:widowControl w:val="0"/>
              <w:rPr>
                <w:b/>
                <w:bCs/>
                <w:sz w:val="18"/>
                <w:szCs w:val="18"/>
              </w:rPr>
            </w:pPr>
            <w:r w:rsidRPr="000528C9">
              <w:rPr>
                <w:b/>
                <w:bCs/>
                <w:sz w:val="18"/>
                <w:szCs w:val="18"/>
              </w:rPr>
              <w:t>Electric Vehicle Charging for Additions and Alterations of Parking Facilities Serving Existing Multifamily Buildings [4.106.4.</w:t>
            </w:r>
            <w:r w:rsidR="00CD306D" w:rsidRPr="000528C9">
              <w:rPr>
                <w:b/>
                <w:bCs/>
                <w:sz w:val="18"/>
                <w:szCs w:val="18"/>
              </w:rPr>
              <w:t>3</w:t>
            </w:r>
            <w:r w:rsidRPr="000528C9">
              <w:rPr>
                <w:b/>
                <w:bCs/>
                <w:sz w:val="18"/>
                <w:szCs w:val="18"/>
              </w:rPr>
              <w:t>]:</w:t>
            </w:r>
          </w:p>
          <w:p w14:paraId="6DEDA9D9" w14:textId="163BD5CF" w:rsidR="006D5038" w:rsidRPr="003C314E" w:rsidRDefault="006D5038" w:rsidP="006D5038">
            <w:pPr>
              <w:widowControl w:val="0"/>
              <w:rPr>
                <w:color w:val="C00000"/>
                <w:sz w:val="18"/>
                <w:szCs w:val="18"/>
              </w:rPr>
            </w:pPr>
            <w:r w:rsidRPr="003C314E">
              <w:rPr>
                <w:color w:val="C00000"/>
                <w:sz w:val="18"/>
                <w:szCs w:val="18"/>
              </w:rPr>
              <w:t>Whe</w:t>
            </w:r>
            <w:r w:rsidR="00255268" w:rsidRPr="003C314E">
              <w:rPr>
                <w:color w:val="C00000"/>
                <w:sz w:val="18"/>
                <w:szCs w:val="18"/>
              </w:rPr>
              <w:t>re</w:t>
            </w:r>
            <w:r w:rsidRPr="000528C9">
              <w:rPr>
                <w:sz w:val="18"/>
                <w:szCs w:val="18"/>
              </w:rPr>
              <w:t xml:space="preserve"> new parking facilities are added, or electrical systems or lighting of existing parking facilities are added or altered and the work requires a building permit, ten (10) percent of the total number of parking spaces added or altered shall be </w:t>
            </w:r>
            <w:r w:rsidR="00255268" w:rsidRPr="003C314E">
              <w:rPr>
                <w:color w:val="C00000"/>
                <w:sz w:val="18"/>
                <w:szCs w:val="18"/>
              </w:rPr>
              <w:t>EV capable spaces</w:t>
            </w:r>
            <w:r w:rsidRPr="003C314E">
              <w:rPr>
                <w:color w:val="C00000"/>
                <w:sz w:val="18"/>
                <w:szCs w:val="18"/>
              </w:rPr>
              <w:t xml:space="preserve"> </w:t>
            </w:r>
            <w:r w:rsidR="00255268" w:rsidRPr="003C314E">
              <w:rPr>
                <w:color w:val="C00000"/>
                <w:sz w:val="18"/>
                <w:szCs w:val="18"/>
              </w:rPr>
              <w:t xml:space="preserve">to </w:t>
            </w:r>
            <w:r w:rsidRPr="003C314E">
              <w:rPr>
                <w:color w:val="C00000"/>
                <w:sz w:val="18"/>
                <w:szCs w:val="18"/>
              </w:rPr>
              <w:t>support future Level 2 EVSE.</w:t>
            </w:r>
            <w:r w:rsidR="00255268" w:rsidRPr="003C314E">
              <w:rPr>
                <w:color w:val="C00000"/>
                <w:sz w:val="18"/>
                <w:szCs w:val="18"/>
              </w:rPr>
              <w:t xml:space="preserve"> The service panel or subpanel circuit directory shall identify the overcurrent protective device space(s) reserved for future EV charging purposes as "EV CAPABLE" in accordance with the California Electrical Code.</w:t>
            </w:r>
          </w:p>
          <w:p w14:paraId="5199D0B5" w14:textId="77777777" w:rsidR="006D5038" w:rsidRPr="000528C9" w:rsidRDefault="006D5038" w:rsidP="006D5038">
            <w:pPr>
              <w:widowControl w:val="0"/>
              <w:rPr>
                <w:sz w:val="18"/>
                <w:szCs w:val="18"/>
              </w:rPr>
            </w:pPr>
          </w:p>
          <w:p w14:paraId="727A3744" w14:textId="77777777" w:rsidR="00DA6531" w:rsidRPr="000528C9" w:rsidRDefault="006D5038" w:rsidP="003623BE">
            <w:pPr>
              <w:widowControl w:val="0"/>
              <w:rPr>
                <w:sz w:val="18"/>
                <w:szCs w:val="18"/>
              </w:rPr>
            </w:pPr>
            <w:r w:rsidRPr="000528C9">
              <w:rPr>
                <w:b/>
                <w:bCs/>
                <w:sz w:val="18"/>
                <w:szCs w:val="18"/>
              </w:rPr>
              <w:t>Notes:</w:t>
            </w:r>
            <w:r w:rsidR="003623BE" w:rsidRPr="000528C9">
              <w:rPr>
                <w:sz w:val="18"/>
                <w:szCs w:val="18"/>
              </w:rPr>
              <w:t xml:space="preserve"> </w:t>
            </w:r>
          </w:p>
          <w:p w14:paraId="60296DD6" w14:textId="77777777" w:rsidR="00DA6531" w:rsidRPr="000528C9" w:rsidRDefault="006D5038">
            <w:pPr>
              <w:pStyle w:val="ListParagraph"/>
              <w:widowControl w:val="0"/>
              <w:numPr>
                <w:ilvl w:val="0"/>
                <w:numId w:val="18"/>
              </w:numPr>
              <w:rPr>
                <w:b/>
                <w:bCs/>
                <w:sz w:val="18"/>
                <w:szCs w:val="18"/>
              </w:rPr>
            </w:pPr>
            <w:r w:rsidRPr="000528C9">
              <w:rPr>
                <w:sz w:val="18"/>
                <w:szCs w:val="18"/>
              </w:rPr>
              <w:t>Construction documents are intended to demonstrate the project's capability and capacity for facilitating future EV charging</w:t>
            </w:r>
            <w:r w:rsidR="003623BE" w:rsidRPr="000528C9">
              <w:rPr>
                <w:sz w:val="18"/>
                <w:szCs w:val="18"/>
              </w:rPr>
              <w:t xml:space="preserve">. </w:t>
            </w:r>
          </w:p>
          <w:p w14:paraId="55C3B17C" w14:textId="77777777" w:rsidR="006A25C4" w:rsidRPr="00255268" w:rsidRDefault="006D5038">
            <w:pPr>
              <w:pStyle w:val="ListParagraph"/>
              <w:widowControl w:val="0"/>
              <w:numPr>
                <w:ilvl w:val="0"/>
                <w:numId w:val="18"/>
              </w:numPr>
              <w:rPr>
                <w:b/>
                <w:bCs/>
                <w:sz w:val="18"/>
                <w:szCs w:val="18"/>
              </w:rPr>
            </w:pPr>
            <w:r w:rsidRPr="000528C9">
              <w:rPr>
                <w:sz w:val="18"/>
                <w:szCs w:val="18"/>
              </w:rPr>
              <w:t>There is no requirement for EV spaces to be constructed or available until EV chargers are installed for use.</w:t>
            </w:r>
          </w:p>
          <w:p w14:paraId="2FE24C71" w14:textId="08A2948C" w:rsidR="00255268" w:rsidRPr="000528C9" w:rsidRDefault="00255268" w:rsidP="00255268">
            <w:pPr>
              <w:pStyle w:val="ListParagraph"/>
              <w:widowControl w:val="0"/>
              <w:rPr>
                <w:b/>
                <w:bCs/>
                <w:sz w:val="18"/>
                <w:szCs w:val="18"/>
              </w:rPr>
            </w:pPr>
          </w:p>
        </w:tc>
        <w:tc>
          <w:tcPr>
            <w:tcW w:w="1620" w:type="dxa"/>
            <w:tcBorders>
              <w:top w:val="single" w:sz="2" w:space="0" w:color="auto"/>
              <w:left w:val="single" w:sz="2" w:space="0" w:color="auto"/>
              <w:bottom w:val="single" w:sz="2" w:space="0" w:color="auto"/>
              <w:right w:val="single" w:sz="2" w:space="0" w:color="auto"/>
            </w:tcBorders>
          </w:tcPr>
          <w:p w14:paraId="179B6438" w14:textId="77777777" w:rsidR="006A25C4" w:rsidRPr="000528C9" w:rsidRDefault="006A25C4">
            <w:pPr>
              <w:rPr>
                <w:sz w:val="18"/>
                <w:szCs w:val="18"/>
              </w:rPr>
            </w:pPr>
          </w:p>
        </w:tc>
      </w:tr>
      <w:tr w:rsidR="003748A3" w:rsidRPr="000528C9" w14:paraId="73556AE5" w14:textId="77777777" w:rsidTr="00505FFA">
        <w:trPr>
          <w:trHeight w:val="3748"/>
        </w:trPr>
        <w:tc>
          <w:tcPr>
            <w:tcW w:w="720" w:type="dxa"/>
            <w:tcBorders>
              <w:top w:val="single" w:sz="2" w:space="0" w:color="auto"/>
              <w:left w:val="single" w:sz="2" w:space="0" w:color="auto"/>
              <w:bottom w:val="single" w:sz="2" w:space="0" w:color="auto"/>
              <w:right w:val="single" w:sz="2" w:space="0" w:color="auto"/>
            </w:tcBorders>
          </w:tcPr>
          <w:p w14:paraId="2AE31292" w14:textId="01F5FB0F" w:rsidR="003748A3" w:rsidRPr="000528C9" w:rsidRDefault="00BB060B">
            <w:pPr>
              <w:rPr>
                <w:sz w:val="18"/>
                <w:szCs w:val="18"/>
              </w:rPr>
            </w:pPr>
            <w:r>
              <w:rPr>
                <w:sz w:val="18"/>
                <w:szCs w:val="18"/>
              </w:rPr>
              <w:lastRenderedPageBreak/>
              <w:t>19</w:t>
            </w:r>
          </w:p>
        </w:tc>
        <w:tc>
          <w:tcPr>
            <w:tcW w:w="810" w:type="dxa"/>
            <w:tcBorders>
              <w:top w:val="single" w:sz="2" w:space="0" w:color="auto"/>
              <w:left w:val="single" w:sz="2" w:space="0" w:color="auto"/>
              <w:bottom w:val="single" w:sz="2" w:space="0" w:color="auto"/>
              <w:right w:val="single" w:sz="2" w:space="0" w:color="auto"/>
            </w:tcBorders>
          </w:tcPr>
          <w:p w14:paraId="644C325E" w14:textId="77777777" w:rsidR="003748A3" w:rsidRPr="000528C9" w:rsidRDefault="003748A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A353D5A" w14:textId="77777777" w:rsidR="003748A3" w:rsidRPr="000528C9" w:rsidRDefault="00AB301A" w:rsidP="004616B5">
            <w:pPr>
              <w:widowControl w:val="0"/>
              <w:rPr>
                <w:sz w:val="18"/>
                <w:szCs w:val="18"/>
              </w:rPr>
            </w:pPr>
            <w:r w:rsidRPr="000528C9">
              <w:rPr>
                <w:sz w:val="18"/>
                <w:szCs w:val="18"/>
              </w:rPr>
              <w:t>Plumbing fixtures (water closets and urinals) and fittings (faucets and showerheads) installed in residential building</w:t>
            </w:r>
            <w:r w:rsidR="00CD67B5" w:rsidRPr="000528C9">
              <w:rPr>
                <w:sz w:val="18"/>
                <w:szCs w:val="18"/>
              </w:rPr>
              <w:t>s shall comply with</w:t>
            </w:r>
            <w:r w:rsidRPr="000528C9">
              <w:rPr>
                <w:sz w:val="18"/>
                <w:szCs w:val="18"/>
              </w:rPr>
              <w:t xml:space="preserve"> requirements of Section</w:t>
            </w:r>
            <w:r w:rsidR="008420A9" w:rsidRPr="000528C9">
              <w:rPr>
                <w:sz w:val="18"/>
                <w:szCs w:val="18"/>
              </w:rPr>
              <w:t>s 4.303.1.1 through 4.303.1.4.5</w:t>
            </w:r>
            <w:r w:rsidR="00CD67B5" w:rsidRPr="000528C9">
              <w:rPr>
                <w:sz w:val="18"/>
                <w:szCs w:val="18"/>
              </w:rPr>
              <w:t>:</w:t>
            </w:r>
          </w:p>
          <w:p w14:paraId="477F938A" w14:textId="77777777" w:rsidR="00AB301A" w:rsidRPr="000528C9" w:rsidRDefault="00AB301A" w:rsidP="004616B5">
            <w:pPr>
              <w:widowControl w:val="0"/>
              <w:rPr>
                <w:sz w:val="18"/>
                <w:szCs w:val="18"/>
              </w:rPr>
            </w:pPr>
          </w:p>
          <w:tbl>
            <w:tblPr>
              <w:tblStyle w:val="TableGrid"/>
              <w:tblW w:w="0" w:type="auto"/>
              <w:jc w:val="center"/>
              <w:tblLayout w:type="fixed"/>
              <w:tblLook w:val="04A0" w:firstRow="1" w:lastRow="0" w:firstColumn="1" w:lastColumn="0" w:noHBand="0" w:noVBand="1"/>
            </w:tblPr>
            <w:tblGrid>
              <w:gridCol w:w="2114"/>
              <w:gridCol w:w="3780"/>
            </w:tblGrid>
            <w:tr w:rsidR="00EC2888" w:rsidRPr="000528C9" w14:paraId="51D0676A" w14:textId="77777777" w:rsidTr="00FA1F22">
              <w:trPr>
                <w:trHeight w:val="368"/>
                <w:jc w:val="center"/>
              </w:trPr>
              <w:tc>
                <w:tcPr>
                  <w:tcW w:w="2114" w:type="dxa"/>
                  <w:tcBorders>
                    <w:bottom w:val="double" w:sz="4" w:space="0" w:color="000000"/>
                  </w:tcBorders>
                </w:tcPr>
                <w:p w14:paraId="044BF9EA" w14:textId="77777777" w:rsidR="00EC2888" w:rsidRPr="000528C9" w:rsidRDefault="00EC2888" w:rsidP="00EC2888">
                  <w:pPr>
                    <w:jc w:val="center"/>
                    <w:rPr>
                      <w:b/>
                      <w:sz w:val="18"/>
                      <w:szCs w:val="18"/>
                    </w:rPr>
                  </w:pPr>
                  <w:r w:rsidRPr="000528C9">
                    <w:rPr>
                      <w:b/>
                      <w:sz w:val="18"/>
                      <w:szCs w:val="18"/>
                    </w:rPr>
                    <w:t>Plumbing fixtures &amp; fittings</w:t>
                  </w:r>
                </w:p>
              </w:tc>
              <w:tc>
                <w:tcPr>
                  <w:tcW w:w="3780" w:type="dxa"/>
                  <w:tcBorders>
                    <w:bottom w:val="double" w:sz="4" w:space="0" w:color="000000"/>
                  </w:tcBorders>
                </w:tcPr>
                <w:p w14:paraId="71BF453F" w14:textId="77777777" w:rsidR="00EC2888" w:rsidRPr="000528C9" w:rsidRDefault="00EC2888" w:rsidP="00EC2888">
                  <w:pPr>
                    <w:jc w:val="center"/>
                    <w:rPr>
                      <w:b/>
                      <w:sz w:val="18"/>
                      <w:szCs w:val="18"/>
                    </w:rPr>
                  </w:pPr>
                  <w:r w:rsidRPr="000528C9">
                    <w:rPr>
                      <w:b/>
                      <w:sz w:val="18"/>
                      <w:szCs w:val="18"/>
                    </w:rPr>
                    <w:t>Maximum</w:t>
                  </w:r>
                  <w:r w:rsidR="003C63F1" w:rsidRPr="000528C9">
                    <w:rPr>
                      <w:b/>
                      <w:sz w:val="18"/>
                      <w:szCs w:val="18"/>
                    </w:rPr>
                    <w:t xml:space="preserve"> Flow Rate</w:t>
                  </w:r>
                </w:p>
              </w:tc>
            </w:tr>
            <w:tr w:rsidR="00EC2888" w:rsidRPr="000528C9" w14:paraId="79FD9FC1" w14:textId="77777777" w:rsidTr="00FA1F22">
              <w:trPr>
                <w:jc w:val="center"/>
              </w:trPr>
              <w:tc>
                <w:tcPr>
                  <w:tcW w:w="2114" w:type="dxa"/>
                  <w:tcBorders>
                    <w:top w:val="double" w:sz="4" w:space="0" w:color="000000"/>
                  </w:tcBorders>
                </w:tcPr>
                <w:p w14:paraId="431C2C24" w14:textId="77777777" w:rsidR="00EC2888" w:rsidRPr="000528C9" w:rsidRDefault="00EC2888" w:rsidP="00EC2888">
                  <w:pPr>
                    <w:rPr>
                      <w:sz w:val="16"/>
                      <w:szCs w:val="16"/>
                    </w:rPr>
                  </w:pPr>
                  <w:r w:rsidRPr="000528C9">
                    <w:rPr>
                      <w:sz w:val="16"/>
                      <w:szCs w:val="16"/>
                    </w:rPr>
                    <w:t>Water closets</w:t>
                  </w:r>
                </w:p>
              </w:tc>
              <w:tc>
                <w:tcPr>
                  <w:tcW w:w="3780" w:type="dxa"/>
                  <w:tcBorders>
                    <w:top w:val="double" w:sz="4" w:space="0" w:color="000000"/>
                  </w:tcBorders>
                </w:tcPr>
                <w:p w14:paraId="2AD64ABB" w14:textId="77777777" w:rsidR="00EC2888" w:rsidRPr="000528C9" w:rsidRDefault="00EC2888" w:rsidP="00EC2888">
                  <w:pPr>
                    <w:rPr>
                      <w:sz w:val="16"/>
                      <w:szCs w:val="16"/>
                    </w:rPr>
                  </w:pPr>
                  <w:r w:rsidRPr="000528C9">
                    <w:rPr>
                      <w:sz w:val="16"/>
                      <w:szCs w:val="16"/>
                    </w:rPr>
                    <w:t>1.28 gallons/flush</w:t>
                  </w:r>
                </w:p>
              </w:tc>
            </w:tr>
            <w:tr w:rsidR="00EC2888" w:rsidRPr="000528C9" w14:paraId="1C60786A" w14:textId="77777777" w:rsidTr="00FA1F22">
              <w:trPr>
                <w:jc w:val="center"/>
              </w:trPr>
              <w:tc>
                <w:tcPr>
                  <w:tcW w:w="2114" w:type="dxa"/>
                </w:tcPr>
                <w:p w14:paraId="11E69552" w14:textId="77777777" w:rsidR="00EC2888" w:rsidRPr="000528C9" w:rsidRDefault="00EC2888" w:rsidP="00EC2888">
                  <w:pPr>
                    <w:rPr>
                      <w:sz w:val="16"/>
                      <w:szCs w:val="16"/>
                    </w:rPr>
                  </w:pPr>
                  <w:r w:rsidRPr="000528C9">
                    <w:rPr>
                      <w:sz w:val="16"/>
                      <w:szCs w:val="16"/>
                    </w:rPr>
                    <w:t>Showerheads</w:t>
                  </w:r>
                </w:p>
              </w:tc>
              <w:tc>
                <w:tcPr>
                  <w:tcW w:w="3780" w:type="dxa"/>
                </w:tcPr>
                <w:p w14:paraId="55FB14F9" w14:textId="77777777" w:rsidR="00EC2888" w:rsidRPr="000528C9" w:rsidRDefault="002D1672" w:rsidP="00EC2888">
                  <w:pPr>
                    <w:rPr>
                      <w:sz w:val="16"/>
                      <w:szCs w:val="16"/>
                    </w:rPr>
                  </w:pPr>
                  <w:r w:rsidRPr="000528C9">
                    <w:rPr>
                      <w:sz w:val="16"/>
                      <w:szCs w:val="16"/>
                    </w:rPr>
                    <w:t xml:space="preserve">1.8 </w:t>
                  </w:r>
                  <w:r w:rsidR="00EC2888" w:rsidRPr="000528C9">
                    <w:rPr>
                      <w:sz w:val="16"/>
                      <w:szCs w:val="16"/>
                    </w:rPr>
                    <w:t>gpm @ 80 psi</w:t>
                  </w:r>
                </w:p>
              </w:tc>
            </w:tr>
            <w:tr w:rsidR="00EC2888" w:rsidRPr="000528C9" w14:paraId="701D0E75" w14:textId="77777777" w:rsidTr="00FA1F22">
              <w:trPr>
                <w:jc w:val="center"/>
              </w:trPr>
              <w:tc>
                <w:tcPr>
                  <w:tcW w:w="2114" w:type="dxa"/>
                </w:tcPr>
                <w:p w14:paraId="3BF839D3" w14:textId="77777777" w:rsidR="00EC2888" w:rsidRPr="000528C9" w:rsidRDefault="00EC2888" w:rsidP="00EC2888">
                  <w:pPr>
                    <w:rPr>
                      <w:sz w:val="16"/>
                      <w:szCs w:val="16"/>
                    </w:rPr>
                  </w:pPr>
                  <w:r w:rsidRPr="000528C9">
                    <w:rPr>
                      <w:bCs/>
                      <w:sz w:val="16"/>
                      <w:szCs w:val="16"/>
                    </w:rPr>
                    <w:t>Kitchen faucets</w:t>
                  </w:r>
                </w:p>
              </w:tc>
              <w:tc>
                <w:tcPr>
                  <w:tcW w:w="3780" w:type="dxa"/>
                </w:tcPr>
                <w:p w14:paraId="3CCF19C9" w14:textId="77777777" w:rsidR="00EC2888" w:rsidRPr="000528C9" w:rsidRDefault="00EC2888" w:rsidP="00EC2888">
                  <w:pPr>
                    <w:rPr>
                      <w:sz w:val="16"/>
                      <w:szCs w:val="16"/>
                    </w:rPr>
                  </w:pPr>
                  <w:r w:rsidRPr="000528C9">
                    <w:rPr>
                      <w:sz w:val="16"/>
                      <w:szCs w:val="16"/>
                    </w:rPr>
                    <w:t>1.8 gpm @ 60 psi</w:t>
                  </w:r>
                </w:p>
              </w:tc>
            </w:tr>
            <w:tr w:rsidR="00EC2888" w:rsidRPr="000528C9" w14:paraId="33B3B20B" w14:textId="77777777" w:rsidTr="00FA1F22">
              <w:trPr>
                <w:jc w:val="center"/>
              </w:trPr>
              <w:tc>
                <w:tcPr>
                  <w:tcW w:w="2114" w:type="dxa"/>
                </w:tcPr>
                <w:p w14:paraId="25C08190" w14:textId="77777777" w:rsidR="00EC2888" w:rsidRPr="000528C9" w:rsidRDefault="00EC2888" w:rsidP="00EC2888">
                  <w:pPr>
                    <w:rPr>
                      <w:sz w:val="16"/>
                      <w:szCs w:val="16"/>
                    </w:rPr>
                  </w:pPr>
                  <w:r w:rsidRPr="000528C9">
                    <w:rPr>
                      <w:bCs/>
                      <w:sz w:val="16"/>
                      <w:szCs w:val="16"/>
                    </w:rPr>
                    <w:t>Residential lavatory faucets</w:t>
                  </w:r>
                </w:p>
              </w:tc>
              <w:tc>
                <w:tcPr>
                  <w:tcW w:w="3780" w:type="dxa"/>
                </w:tcPr>
                <w:p w14:paraId="653729E2" w14:textId="77777777" w:rsidR="00EC2888" w:rsidRPr="000528C9" w:rsidRDefault="00B2272C" w:rsidP="00EC2888">
                  <w:pPr>
                    <w:rPr>
                      <w:sz w:val="16"/>
                      <w:szCs w:val="16"/>
                    </w:rPr>
                  </w:pPr>
                  <w:r w:rsidRPr="000528C9">
                    <w:rPr>
                      <w:sz w:val="16"/>
                      <w:szCs w:val="16"/>
                    </w:rPr>
                    <w:t>1.2</w:t>
                  </w:r>
                  <w:r w:rsidR="00505FFA" w:rsidRPr="000528C9">
                    <w:rPr>
                      <w:sz w:val="16"/>
                      <w:szCs w:val="16"/>
                    </w:rPr>
                    <w:t xml:space="preserve"> gpm @ 60 psi max. and</w:t>
                  </w:r>
                </w:p>
                <w:p w14:paraId="104EA244" w14:textId="77777777" w:rsidR="00EC2888" w:rsidRPr="000528C9" w:rsidRDefault="00EC2888" w:rsidP="00EC2888">
                  <w:pPr>
                    <w:rPr>
                      <w:sz w:val="16"/>
                      <w:szCs w:val="16"/>
                    </w:rPr>
                  </w:pPr>
                  <w:r w:rsidRPr="000528C9">
                    <w:rPr>
                      <w:sz w:val="16"/>
                      <w:szCs w:val="16"/>
                    </w:rPr>
                    <w:t>0.8 gpm @ 20 psi min.</w:t>
                  </w:r>
                </w:p>
              </w:tc>
            </w:tr>
            <w:tr w:rsidR="00EC2888" w:rsidRPr="000528C9" w14:paraId="16E321A7" w14:textId="77777777" w:rsidTr="00FA1F22">
              <w:trPr>
                <w:jc w:val="center"/>
              </w:trPr>
              <w:tc>
                <w:tcPr>
                  <w:tcW w:w="2114" w:type="dxa"/>
                </w:tcPr>
                <w:p w14:paraId="0FC21156" w14:textId="77777777" w:rsidR="00EC2888" w:rsidRPr="000528C9" w:rsidRDefault="00EC2888" w:rsidP="00EC2888">
                  <w:pPr>
                    <w:rPr>
                      <w:bCs/>
                      <w:sz w:val="16"/>
                      <w:szCs w:val="16"/>
                    </w:rPr>
                  </w:pPr>
                  <w:r w:rsidRPr="000528C9">
                    <w:rPr>
                      <w:bCs/>
                      <w:sz w:val="16"/>
                      <w:szCs w:val="16"/>
                    </w:rPr>
                    <w:t>Lavatory faucets in common &amp; public use areas</w:t>
                  </w:r>
                </w:p>
              </w:tc>
              <w:tc>
                <w:tcPr>
                  <w:tcW w:w="3780" w:type="dxa"/>
                </w:tcPr>
                <w:p w14:paraId="231FD2B5" w14:textId="77777777" w:rsidR="00EC2888" w:rsidRPr="000528C9" w:rsidRDefault="00EC2888" w:rsidP="00EC2888">
                  <w:pPr>
                    <w:rPr>
                      <w:sz w:val="16"/>
                      <w:szCs w:val="16"/>
                    </w:rPr>
                  </w:pPr>
                  <w:r w:rsidRPr="000528C9">
                    <w:rPr>
                      <w:sz w:val="16"/>
                      <w:szCs w:val="16"/>
                    </w:rPr>
                    <w:t>0.5 gpm @ 60 psi</w:t>
                  </w:r>
                </w:p>
              </w:tc>
            </w:tr>
            <w:tr w:rsidR="00EC2888" w:rsidRPr="000528C9" w14:paraId="55AA61B7" w14:textId="77777777" w:rsidTr="00FA1F22">
              <w:trPr>
                <w:jc w:val="center"/>
              </w:trPr>
              <w:tc>
                <w:tcPr>
                  <w:tcW w:w="2114" w:type="dxa"/>
                </w:tcPr>
                <w:p w14:paraId="228ECA7A" w14:textId="77777777" w:rsidR="00EC2888" w:rsidRPr="000528C9" w:rsidRDefault="00EC2888" w:rsidP="00EC2888">
                  <w:pPr>
                    <w:rPr>
                      <w:bCs/>
                      <w:sz w:val="16"/>
                      <w:szCs w:val="16"/>
                    </w:rPr>
                  </w:pPr>
                  <w:r w:rsidRPr="000528C9">
                    <w:rPr>
                      <w:bCs/>
                      <w:sz w:val="16"/>
                      <w:szCs w:val="16"/>
                    </w:rPr>
                    <w:t>Metering faucets</w:t>
                  </w:r>
                </w:p>
              </w:tc>
              <w:tc>
                <w:tcPr>
                  <w:tcW w:w="3780" w:type="dxa"/>
                </w:tcPr>
                <w:p w14:paraId="5AFA76BF" w14:textId="77777777" w:rsidR="00EC2888" w:rsidRPr="000528C9" w:rsidRDefault="005A2738" w:rsidP="00EC2888">
                  <w:pPr>
                    <w:rPr>
                      <w:sz w:val="16"/>
                      <w:szCs w:val="16"/>
                    </w:rPr>
                  </w:pPr>
                  <w:r w:rsidRPr="000528C9">
                    <w:rPr>
                      <w:sz w:val="16"/>
                      <w:szCs w:val="16"/>
                    </w:rPr>
                    <w:t>0.20</w:t>
                  </w:r>
                  <w:r w:rsidR="00EC2888" w:rsidRPr="000528C9">
                    <w:rPr>
                      <w:sz w:val="16"/>
                      <w:szCs w:val="16"/>
                    </w:rPr>
                    <w:t xml:space="preserve"> gallons/cycle</w:t>
                  </w:r>
                </w:p>
              </w:tc>
            </w:tr>
            <w:tr w:rsidR="00EC2888" w:rsidRPr="000528C9" w14:paraId="2DB3A2B6" w14:textId="77777777" w:rsidTr="00FA1F22">
              <w:trPr>
                <w:jc w:val="center"/>
              </w:trPr>
              <w:tc>
                <w:tcPr>
                  <w:tcW w:w="2114" w:type="dxa"/>
                </w:tcPr>
                <w:p w14:paraId="04738BA4" w14:textId="77777777" w:rsidR="00EC2888" w:rsidRPr="000528C9" w:rsidRDefault="00EC2888" w:rsidP="00EC2888">
                  <w:pPr>
                    <w:rPr>
                      <w:sz w:val="16"/>
                      <w:szCs w:val="16"/>
                    </w:rPr>
                  </w:pPr>
                  <w:r w:rsidRPr="000528C9">
                    <w:rPr>
                      <w:sz w:val="16"/>
                      <w:szCs w:val="16"/>
                    </w:rPr>
                    <w:t>Urinals</w:t>
                  </w:r>
                </w:p>
              </w:tc>
              <w:tc>
                <w:tcPr>
                  <w:tcW w:w="3780" w:type="dxa"/>
                </w:tcPr>
                <w:p w14:paraId="5FC0C41B" w14:textId="77777777" w:rsidR="00EC2888" w:rsidRPr="000528C9" w:rsidRDefault="00EC2888" w:rsidP="00EC2888">
                  <w:pPr>
                    <w:rPr>
                      <w:sz w:val="16"/>
                      <w:szCs w:val="16"/>
                    </w:rPr>
                  </w:pPr>
                  <w:r w:rsidRPr="000528C9">
                    <w:rPr>
                      <w:sz w:val="16"/>
                      <w:szCs w:val="16"/>
                    </w:rPr>
                    <w:t>0.</w:t>
                  </w:r>
                  <w:r w:rsidR="00B2272C" w:rsidRPr="000528C9">
                    <w:rPr>
                      <w:sz w:val="16"/>
                      <w:szCs w:val="16"/>
                    </w:rPr>
                    <w:t>125 gallons/</w:t>
                  </w:r>
                  <w:r w:rsidR="00505FFA" w:rsidRPr="000528C9">
                    <w:rPr>
                      <w:sz w:val="16"/>
                      <w:szCs w:val="16"/>
                    </w:rPr>
                    <w:t>flush for wall-mounted type,</w:t>
                  </w:r>
                </w:p>
                <w:p w14:paraId="01301C20" w14:textId="77777777" w:rsidR="00B2272C" w:rsidRPr="000528C9" w:rsidRDefault="00B2272C" w:rsidP="00EC2888">
                  <w:pPr>
                    <w:rPr>
                      <w:sz w:val="16"/>
                      <w:szCs w:val="16"/>
                    </w:rPr>
                  </w:pPr>
                  <w:r w:rsidRPr="000528C9">
                    <w:rPr>
                      <w:sz w:val="16"/>
                      <w:szCs w:val="16"/>
                    </w:rPr>
                    <w:t>0.5 gallons/flush for floor-mounted type or other type</w:t>
                  </w:r>
                </w:p>
              </w:tc>
            </w:tr>
            <w:tr w:rsidR="00FA1F22" w:rsidRPr="000528C9" w14:paraId="48AC7AA0" w14:textId="77777777" w:rsidTr="00FA1F22">
              <w:trPr>
                <w:jc w:val="center"/>
              </w:trPr>
              <w:tc>
                <w:tcPr>
                  <w:tcW w:w="2114" w:type="dxa"/>
                </w:tcPr>
                <w:p w14:paraId="5F75E49A" w14:textId="77777777" w:rsidR="00FA1F22" w:rsidRPr="000528C9" w:rsidRDefault="00FA1F22" w:rsidP="00EC2888">
                  <w:pPr>
                    <w:rPr>
                      <w:sz w:val="16"/>
                      <w:szCs w:val="16"/>
                    </w:rPr>
                  </w:pPr>
                  <w:r w:rsidRPr="000528C9">
                    <w:rPr>
                      <w:sz w:val="16"/>
                      <w:szCs w:val="16"/>
                    </w:rPr>
                    <w:t>Pre-rinse spray valve (with an integral automatic shutoff)</w:t>
                  </w:r>
                </w:p>
              </w:tc>
              <w:tc>
                <w:tcPr>
                  <w:tcW w:w="3780" w:type="dxa"/>
                </w:tcPr>
                <w:p w14:paraId="48CFCE09" w14:textId="77777777" w:rsidR="00FA1F22" w:rsidRPr="000528C9" w:rsidRDefault="00FA1F22" w:rsidP="00FA1F22">
                  <w:pPr>
                    <w:rPr>
                      <w:sz w:val="16"/>
                      <w:szCs w:val="16"/>
                    </w:rPr>
                  </w:pPr>
                  <w:r w:rsidRPr="000528C9">
                    <w:rPr>
                      <w:sz w:val="16"/>
                      <w:szCs w:val="16"/>
                    </w:rPr>
                    <w:t>1.00 gpm for Product Class 1 (≤ 5.0 ozf)</w:t>
                  </w:r>
                </w:p>
                <w:p w14:paraId="67200895" w14:textId="77777777" w:rsidR="00FA1F22" w:rsidRPr="000528C9" w:rsidRDefault="00FA1F22" w:rsidP="00FA1F22">
                  <w:pPr>
                    <w:rPr>
                      <w:sz w:val="16"/>
                      <w:szCs w:val="16"/>
                    </w:rPr>
                  </w:pPr>
                  <w:r w:rsidRPr="000528C9">
                    <w:rPr>
                      <w:sz w:val="16"/>
                      <w:szCs w:val="16"/>
                    </w:rPr>
                    <w:t>1.20 gpm for Product Class 2 (&gt;5.0 ozf and ≤8.0 ozf)</w:t>
                  </w:r>
                </w:p>
                <w:p w14:paraId="52F629C0" w14:textId="77777777" w:rsidR="00FA1F22" w:rsidRPr="000528C9" w:rsidRDefault="00FA1F22" w:rsidP="00FA1F22">
                  <w:pPr>
                    <w:rPr>
                      <w:sz w:val="16"/>
                      <w:szCs w:val="16"/>
                    </w:rPr>
                  </w:pPr>
                  <w:r w:rsidRPr="000528C9">
                    <w:rPr>
                      <w:sz w:val="16"/>
                      <w:szCs w:val="16"/>
                    </w:rPr>
                    <w:t>1.28 gpm for Product Class 3 (&gt;8.0 ozf)</w:t>
                  </w:r>
                </w:p>
              </w:tc>
            </w:tr>
          </w:tbl>
          <w:p w14:paraId="58401EF9" w14:textId="77777777" w:rsidR="008420A9" w:rsidRPr="000528C9" w:rsidRDefault="008420A9" w:rsidP="004616B5">
            <w:pPr>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2EF11F95" w14:textId="77777777" w:rsidR="003748A3" w:rsidRPr="000528C9" w:rsidRDefault="003748A3">
            <w:pPr>
              <w:rPr>
                <w:sz w:val="18"/>
                <w:szCs w:val="18"/>
              </w:rPr>
            </w:pPr>
          </w:p>
        </w:tc>
      </w:tr>
      <w:tr w:rsidR="006B1114" w:rsidRPr="000528C9" w14:paraId="3DECCF61" w14:textId="77777777" w:rsidTr="0054062C">
        <w:tc>
          <w:tcPr>
            <w:tcW w:w="720" w:type="dxa"/>
            <w:tcBorders>
              <w:top w:val="single" w:sz="2" w:space="0" w:color="auto"/>
              <w:left w:val="single" w:sz="2" w:space="0" w:color="auto"/>
              <w:bottom w:val="single" w:sz="2" w:space="0" w:color="auto"/>
              <w:right w:val="single" w:sz="2" w:space="0" w:color="auto"/>
            </w:tcBorders>
          </w:tcPr>
          <w:p w14:paraId="2EF2D63E" w14:textId="11518EE5" w:rsidR="006B1114" w:rsidRPr="000528C9" w:rsidRDefault="00F67F0D">
            <w:pPr>
              <w:rPr>
                <w:sz w:val="18"/>
                <w:szCs w:val="18"/>
              </w:rPr>
            </w:pPr>
            <w:r w:rsidRPr="000528C9">
              <w:rPr>
                <w:sz w:val="18"/>
                <w:szCs w:val="18"/>
              </w:rPr>
              <w:t>2</w:t>
            </w:r>
            <w:r w:rsidR="00BB060B">
              <w:rPr>
                <w:sz w:val="18"/>
                <w:szCs w:val="18"/>
              </w:rPr>
              <w:t>0</w:t>
            </w:r>
          </w:p>
        </w:tc>
        <w:tc>
          <w:tcPr>
            <w:tcW w:w="810" w:type="dxa"/>
            <w:tcBorders>
              <w:top w:val="single" w:sz="2" w:space="0" w:color="auto"/>
              <w:left w:val="single" w:sz="2" w:space="0" w:color="auto"/>
              <w:bottom w:val="single" w:sz="2" w:space="0" w:color="auto"/>
              <w:right w:val="single" w:sz="2" w:space="0" w:color="auto"/>
            </w:tcBorders>
          </w:tcPr>
          <w:p w14:paraId="3511D686" w14:textId="77777777" w:rsidR="006B1114" w:rsidRPr="000528C9" w:rsidRDefault="006B1114">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85FAFE5" w14:textId="0FF59328" w:rsidR="006B1114" w:rsidRPr="000528C9" w:rsidRDefault="006C2188" w:rsidP="006C2188">
            <w:pPr>
              <w:widowControl w:val="0"/>
              <w:rPr>
                <w:sz w:val="18"/>
                <w:szCs w:val="18"/>
              </w:rPr>
            </w:pPr>
            <w:r w:rsidRPr="000528C9">
              <w:rPr>
                <w:b/>
                <w:sz w:val="18"/>
                <w:szCs w:val="18"/>
              </w:rPr>
              <w:t>Submeters</w:t>
            </w:r>
            <w:r w:rsidRPr="000528C9">
              <w:rPr>
                <w:sz w:val="18"/>
                <w:szCs w:val="18"/>
              </w:rPr>
              <w:t xml:space="preserve"> shall be installed for multifamily buildings and dwelling units in mixed-use residential/commercial buildings to measure water usage of individual rental dwelling units in accordance with 20</w:t>
            </w:r>
            <w:r w:rsidR="00CD73E7" w:rsidRPr="000528C9">
              <w:rPr>
                <w:sz w:val="18"/>
                <w:szCs w:val="18"/>
              </w:rPr>
              <w:t>22</w:t>
            </w:r>
            <w:r w:rsidRPr="000528C9">
              <w:rPr>
                <w:sz w:val="18"/>
                <w:szCs w:val="18"/>
              </w:rPr>
              <w:t xml:space="preserve"> California Plumbing Code. [4.303.2]</w:t>
            </w:r>
          </w:p>
        </w:tc>
        <w:tc>
          <w:tcPr>
            <w:tcW w:w="1620" w:type="dxa"/>
            <w:tcBorders>
              <w:top w:val="single" w:sz="2" w:space="0" w:color="auto"/>
              <w:left w:val="single" w:sz="2" w:space="0" w:color="auto"/>
              <w:bottom w:val="single" w:sz="2" w:space="0" w:color="auto"/>
              <w:right w:val="single" w:sz="2" w:space="0" w:color="auto"/>
            </w:tcBorders>
          </w:tcPr>
          <w:p w14:paraId="59EB962B" w14:textId="77777777" w:rsidR="006B1114" w:rsidRPr="000528C9" w:rsidRDefault="006B1114">
            <w:pPr>
              <w:rPr>
                <w:sz w:val="18"/>
                <w:szCs w:val="18"/>
              </w:rPr>
            </w:pPr>
          </w:p>
        </w:tc>
      </w:tr>
      <w:tr w:rsidR="0012790C" w:rsidRPr="000528C9" w14:paraId="5147C4DB" w14:textId="77777777" w:rsidTr="0054062C">
        <w:tc>
          <w:tcPr>
            <w:tcW w:w="720" w:type="dxa"/>
            <w:tcBorders>
              <w:top w:val="single" w:sz="2" w:space="0" w:color="auto"/>
              <w:left w:val="single" w:sz="2" w:space="0" w:color="auto"/>
              <w:bottom w:val="single" w:sz="2" w:space="0" w:color="auto"/>
              <w:right w:val="single" w:sz="2" w:space="0" w:color="auto"/>
            </w:tcBorders>
          </w:tcPr>
          <w:p w14:paraId="40DC9B53" w14:textId="13247A53" w:rsidR="0012790C" w:rsidRPr="000528C9" w:rsidRDefault="00F67F0D">
            <w:pPr>
              <w:rPr>
                <w:sz w:val="18"/>
                <w:szCs w:val="18"/>
              </w:rPr>
            </w:pPr>
            <w:r w:rsidRPr="000528C9">
              <w:rPr>
                <w:sz w:val="18"/>
                <w:szCs w:val="18"/>
              </w:rPr>
              <w:t>2</w:t>
            </w:r>
            <w:r w:rsidR="00BB060B">
              <w:rPr>
                <w:sz w:val="18"/>
                <w:szCs w:val="18"/>
              </w:rPr>
              <w:t>1</w:t>
            </w:r>
          </w:p>
        </w:tc>
        <w:tc>
          <w:tcPr>
            <w:tcW w:w="810" w:type="dxa"/>
            <w:tcBorders>
              <w:top w:val="single" w:sz="2" w:space="0" w:color="auto"/>
              <w:left w:val="single" w:sz="2" w:space="0" w:color="auto"/>
              <w:bottom w:val="single" w:sz="2" w:space="0" w:color="auto"/>
              <w:right w:val="single" w:sz="2" w:space="0" w:color="auto"/>
            </w:tcBorders>
          </w:tcPr>
          <w:p w14:paraId="6A3F85E2"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2001AED" w14:textId="3E7AE2E0" w:rsidR="0012790C" w:rsidRPr="000528C9" w:rsidRDefault="00944B28" w:rsidP="00944B28">
            <w:pPr>
              <w:widowControl w:val="0"/>
              <w:rPr>
                <w:sz w:val="18"/>
                <w:szCs w:val="18"/>
              </w:rPr>
            </w:pPr>
            <w:r w:rsidRPr="000528C9">
              <w:rPr>
                <w:sz w:val="18"/>
                <w:szCs w:val="18"/>
              </w:rPr>
              <w:t>Plumbing fixtures and fittings required in Section 4.303.1 shall be insta</w:t>
            </w:r>
            <w:r w:rsidR="00505FFA" w:rsidRPr="000528C9">
              <w:rPr>
                <w:sz w:val="18"/>
                <w:szCs w:val="18"/>
              </w:rPr>
              <w:t>lled in accordance with the 20</w:t>
            </w:r>
            <w:r w:rsidR="009705A1" w:rsidRPr="000528C9">
              <w:rPr>
                <w:sz w:val="18"/>
                <w:szCs w:val="18"/>
              </w:rPr>
              <w:t>22</w:t>
            </w:r>
            <w:r w:rsidRPr="000528C9">
              <w:rPr>
                <w:sz w:val="18"/>
                <w:szCs w:val="18"/>
              </w:rPr>
              <w:t xml:space="preserve"> California Plumbing </w:t>
            </w:r>
            <w:r w:rsidR="009705A1" w:rsidRPr="000528C9">
              <w:rPr>
                <w:sz w:val="18"/>
                <w:szCs w:val="18"/>
              </w:rPr>
              <w:t>Code and</w:t>
            </w:r>
            <w:r w:rsidRPr="000528C9">
              <w:rPr>
                <w:sz w:val="18"/>
                <w:szCs w:val="18"/>
              </w:rPr>
              <w:t xml:space="preserve"> shall meet the applicabl</w:t>
            </w:r>
            <w:r w:rsidR="006B1114" w:rsidRPr="000528C9">
              <w:rPr>
                <w:sz w:val="18"/>
                <w:szCs w:val="18"/>
              </w:rPr>
              <w:t>e referenced standards. [4.303.3</w:t>
            </w:r>
            <w:r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7915B82E" w14:textId="77777777" w:rsidR="0012790C" w:rsidRPr="000528C9" w:rsidRDefault="0012790C">
            <w:pPr>
              <w:rPr>
                <w:sz w:val="18"/>
                <w:szCs w:val="18"/>
              </w:rPr>
            </w:pPr>
          </w:p>
        </w:tc>
      </w:tr>
      <w:tr w:rsidR="0012790C" w:rsidRPr="000528C9" w14:paraId="1D863D3E" w14:textId="77777777" w:rsidTr="0054062C">
        <w:tc>
          <w:tcPr>
            <w:tcW w:w="720" w:type="dxa"/>
            <w:tcBorders>
              <w:top w:val="single" w:sz="2" w:space="0" w:color="auto"/>
              <w:left w:val="single" w:sz="2" w:space="0" w:color="auto"/>
              <w:bottom w:val="single" w:sz="2" w:space="0" w:color="auto"/>
              <w:right w:val="single" w:sz="2" w:space="0" w:color="auto"/>
            </w:tcBorders>
          </w:tcPr>
          <w:p w14:paraId="4957E10C" w14:textId="2BA9E217" w:rsidR="0012790C" w:rsidRPr="000528C9" w:rsidRDefault="004D109D">
            <w:pPr>
              <w:rPr>
                <w:sz w:val="18"/>
                <w:szCs w:val="18"/>
              </w:rPr>
            </w:pPr>
            <w:r w:rsidRPr="000528C9">
              <w:rPr>
                <w:sz w:val="18"/>
                <w:szCs w:val="18"/>
              </w:rPr>
              <w:t>2</w:t>
            </w:r>
            <w:r w:rsidR="00BB060B">
              <w:rPr>
                <w:sz w:val="18"/>
                <w:szCs w:val="18"/>
              </w:rPr>
              <w:t>2</w:t>
            </w:r>
          </w:p>
        </w:tc>
        <w:tc>
          <w:tcPr>
            <w:tcW w:w="810" w:type="dxa"/>
            <w:tcBorders>
              <w:top w:val="single" w:sz="2" w:space="0" w:color="auto"/>
              <w:left w:val="single" w:sz="2" w:space="0" w:color="auto"/>
              <w:bottom w:val="single" w:sz="2" w:space="0" w:color="auto"/>
              <w:right w:val="single" w:sz="2" w:space="0" w:color="auto"/>
            </w:tcBorders>
          </w:tcPr>
          <w:p w14:paraId="4B615AE2"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0E85B8D" w14:textId="77777777" w:rsidR="0012790C" w:rsidRPr="000528C9" w:rsidRDefault="00505FFA" w:rsidP="00505FFA">
            <w:pPr>
              <w:rPr>
                <w:rFonts w:eastAsia="Calibri"/>
                <w:sz w:val="18"/>
                <w:szCs w:val="18"/>
              </w:rPr>
            </w:pPr>
            <w:r w:rsidRPr="000528C9">
              <w:rPr>
                <w:rFonts w:eastAsia="Calibri"/>
                <w:sz w:val="18"/>
                <w:szCs w:val="18"/>
              </w:rPr>
              <w:t>R</w:t>
            </w:r>
            <w:r w:rsidR="00F90FB5" w:rsidRPr="000528C9">
              <w:rPr>
                <w:rFonts w:eastAsia="Calibri"/>
                <w:sz w:val="18"/>
                <w:szCs w:val="18"/>
              </w:rPr>
              <w:t>esident</w:t>
            </w:r>
            <w:r w:rsidRPr="000528C9">
              <w:rPr>
                <w:rFonts w:eastAsia="Calibri"/>
                <w:sz w:val="18"/>
                <w:szCs w:val="18"/>
              </w:rPr>
              <w:t xml:space="preserve">ial developments </w:t>
            </w:r>
            <w:r w:rsidR="00F90FB5" w:rsidRPr="000528C9">
              <w:rPr>
                <w:rFonts w:eastAsia="Calibri"/>
                <w:sz w:val="18"/>
                <w:szCs w:val="18"/>
              </w:rPr>
              <w:t>shall comply w</w:t>
            </w:r>
            <w:r w:rsidRPr="000528C9">
              <w:rPr>
                <w:rFonts w:eastAsia="Calibri"/>
                <w:sz w:val="18"/>
                <w:szCs w:val="18"/>
              </w:rPr>
              <w:t>ith a</w:t>
            </w:r>
            <w:r w:rsidR="00F90FB5" w:rsidRPr="000528C9">
              <w:rPr>
                <w:rFonts w:eastAsia="Calibri"/>
                <w:sz w:val="18"/>
                <w:szCs w:val="18"/>
              </w:rPr>
              <w:t xml:space="preserve"> local water efficient landscape ordinance or the current California Department of water Resources’ Model Water Efficient Landscape Ordinance (MWE</w:t>
            </w:r>
            <w:r w:rsidRPr="000528C9">
              <w:rPr>
                <w:rFonts w:eastAsia="Calibri"/>
                <w:sz w:val="18"/>
                <w:szCs w:val="18"/>
              </w:rPr>
              <w:t>LO), whichever more stringent. [4.304.1]</w:t>
            </w:r>
          </w:p>
        </w:tc>
        <w:tc>
          <w:tcPr>
            <w:tcW w:w="1620" w:type="dxa"/>
            <w:tcBorders>
              <w:top w:val="single" w:sz="2" w:space="0" w:color="auto"/>
              <w:left w:val="single" w:sz="2" w:space="0" w:color="auto"/>
              <w:bottom w:val="single" w:sz="2" w:space="0" w:color="auto"/>
              <w:right w:val="single" w:sz="2" w:space="0" w:color="auto"/>
            </w:tcBorders>
          </w:tcPr>
          <w:p w14:paraId="1D0D2D0E" w14:textId="77777777" w:rsidR="0012790C" w:rsidRPr="000528C9" w:rsidRDefault="0012790C">
            <w:pPr>
              <w:rPr>
                <w:sz w:val="18"/>
                <w:szCs w:val="18"/>
              </w:rPr>
            </w:pPr>
          </w:p>
        </w:tc>
      </w:tr>
      <w:tr w:rsidR="0012790C" w:rsidRPr="000528C9" w14:paraId="2C3D28C2" w14:textId="77777777" w:rsidTr="0054062C">
        <w:tc>
          <w:tcPr>
            <w:tcW w:w="720" w:type="dxa"/>
            <w:tcBorders>
              <w:top w:val="single" w:sz="2" w:space="0" w:color="auto"/>
              <w:left w:val="single" w:sz="2" w:space="0" w:color="auto"/>
              <w:bottom w:val="single" w:sz="2" w:space="0" w:color="auto"/>
              <w:right w:val="single" w:sz="2" w:space="0" w:color="auto"/>
            </w:tcBorders>
          </w:tcPr>
          <w:p w14:paraId="41E82E1E" w14:textId="2C706A41" w:rsidR="0012790C" w:rsidRPr="000528C9" w:rsidRDefault="003310DD">
            <w:pPr>
              <w:rPr>
                <w:sz w:val="18"/>
                <w:szCs w:val="18"/>
              </w:rPr>
            </w:pPr>
            <w:r w:rsidRPr="000528C9">
              <w:rPr>
                <w:sz w:val="18"/>
                <w:szCs w:val="18"/>
              </w:rPr>
              <w:t>2</w:t>
            </w:r>
            <w:r w:rsidR="00BB060B">
              <w:rPr>
                <w:sz w:val="18"/>
                <w:szCs w:val="18"/>
              </w:rPr>
              <w:t>3</w:t>
            </w:r>
          </w:p>
        </w:tc>
        <w:tc>
          <w:tcPr>
            <w:tcW w:w="810" w:type="dxa"/>
            <w:tcBorders>
              <w:top w:val="single" w:sz="2" w:space="0" w:color="auto"/>
              <w:left w:val="single" w:sz="2" w:space="0" w:color="auto"/>
              <w:bottom w:val="single" w:sz="2" w:space="0" w:color="auto"/>
              <w:right w:val="single" w:sz="2" w:space="0" w:color="auto"/>
            </w:tcBorders>
          </w:tcPr>
          <w:p w14:paraId="033E1064"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F07777C" w14:textId="77777777" w:rsidR="0012790C" w:rsidRPr="000528C9" w:rsidRDefault="003748A3">
            <w:pPr>
              <w:rPr>
                <w:sz w:val="18"/>
                <w:szCs w:val="18"/>
              </w:rPr>
            </w:pPr>
            <w:r w:rsidRPr="000528C9">
              <w:rPr>
                <w:sz w:val="18"/>
                <w:szCs w:val="18"/>
              </w:rPr>
              <w:t>Annular spaces around pipes, electric cables, conduits or other openings in plates at exterior walls shall be protected</w:t>
            </w:r>
            <w:r w:rsidR="00BA777E" w:rsidRPr="000528C9">
              <w:rPr>
                <w:sz w:val="18"/>
                <w:szCs w:val="18"/>
              </w:rPr>
              <w:t xml:space="preserve"> against the passage of rodents</w:t>
            </w:r>
            <w:r w:rsidRPr="000528C9">
              <w:rPr>
                <w:sz w:val="18"/>
                <w:szCs w:val="18"/>
              </w:rPr>
              <w:t xml:space="preserve"> by closing such openings with cement mortar, concrete masonry, or a similar method accept</w:t>
            </w:r>
            <w:r w:rsidR="00174379" w:rsidRPr="000528C9">
              <w:rPr>
                <w:sz w:val="18"/>
                <w:szCs w:val="18"/>
              </w:rPr>
              <w:t>able to the enforcing agency.  [</w:t>
            </w:r>
            <w:r w:rsidRPr="000528C9">
              <w:rPr>
                <w:sz w:val="18"/>
                <w:szCs w:val="18"/>
              </w:rPr>
              <w:t>4.406.1</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5C7FC1DD" w14:textId="77777777" w:rsidR="0012790C" w:rsidRPr="000528C9" w:rsidRDefault="0012790C">
            <w:pPr>
              <w:rPr>
                <w:sz w:val="18"/>
                <w:szCs w:val="18"/>
              </w:rPr>
            </w:pPr>
          </w:p>
        </w:tc>
      </w:tr>
      <w:tr w:rsidR="0012790C" w:rsidRPr="000528C9" w14:paraId="41D47D1E" w14:textId="77777777" w:rsidTr="0054062C">
        <w:tc>
          <w:tcPr>
            <w:tcW w:w="720" w:type="dxa"/>
            <w:tcBorders>
              <w:top w:val="single" w:sz="2" w:space="0" w:color="auto"/>
              <w:left w:val="single" w:sz="2" w:space="0" w:color="auto"/>
              <w:bottom w:val="single" w:sz="2" w:space="0" w:color="auto"/>
              <w:right w:val="single" w:sz="2" w:space="0" w:color="auto"/>
            </w:tcBorders>
          </w:tcPr>
          <w:p w14:paraId="41515C6A" w14:textId="413D371D" w:rsidR="0012790C" w:rsidRPr="000528C9" w:rsidRDefault="00D316C8" w:rsidP="00485B45">
            <w:pPr>
              <w:rPr>
                <w:sz w:val="18"/>
                <w:szCs w:val="18"/>
              </w:rPr>
            </w:pPr>
            <w:r w:rsidRPr="000528C9">
              <w:rPr>
                <w:sz w:val="18"/>
                <w:szCs w:val="18"/>
              </w:rPr>
              <w:t>2</w:t>
            </w:r>
            <w:r w:rsidR="00BB060B">
              <w:rPr>
                <w:sz w:val="18"/>
                <w:szCs w:val="18"/>
              </w:rPr>
              <w:t>4</w:t>
            </w:r>
          </w:p>
        </w:tc>
        <w:tc>
          <w:tcPr>
            <w:tcW w:w="810" w:type="dxa"/>
            <w:tcBorders>
              <w:top w:val="single" w:sz="2" w:space="0" w:color="auto"/>
              <w:left w:val="single" w:sz="2" w:space="0" w:color="auto"/>
              <w:bottom w:val="single" w:sz="2" w:space="0" w:color="auto"/>
              <w:right w:val="single" w:sz="2" w:space="0" w:color="auto"/>
            </w:tcBorders>
          </w:tcPr>
          <w:p w14:paraId="6953225A"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559BA5A" w14:textId="77777777" w:rsidR="0012790C" w:rsidRPr="000528C9" w:rsidRDefault="003748A3" w:rsidP="00496ABC">
            <w:pPr>
              <w:widowControl w:val="0"/>
              <w:rPr>
                <w:sz w:val="18"/>
                <w:szCs w:val="18"/>
              </w:rPr>
            </w:pPr>
            <w:r w:rsidRPr="000528C9">
              <w:rPr>
                <w:sz w:val="18"/>
                <w:szCs w:val="18"/>
              </w:rPr>
              <w:t xml:space="preserve">Reduce </w:t>
            </w:r>
            <w:r w:rsidRPr="000528C9">
              <w:rPr>
                <w:b/>
                <w:sz w:val="18"/>
                <w:szCs w:val="18"/>
              </w:rPr>
              <w:t>construction waste</w:t>
            </w:r>
            <w:r w:rsidRPr="000528C9">
              <w:rPr>
                <w:sz w:val="18"/>
                <w:szCs w:val="18"/>
              </w:rPr>
              <w:t xml:space="preserve"> b</w:t>
            </w:r>
            <w:r w:rsidR="00CB0763" w:rsidRPr="000528C9">
              <w:rPr>
                <w:sz w:val="18"/>
                <w:szCs w:val="18"/>
              </w:rPr>
              <w:t>y recycling or salvaging for re</w:t>
            </w:r>
            <w:r w:rsidR="006D4EFA" w:rsidRPr="000528C9">
              <w:rPr>
                <w:sz w:val="18"/>
                <w:szCs w:val="18"/>
              </w:rPr>
              <w:t>use a minimum of 65%</w:t>
            </w:r>
            <w:r w:rsidRPr="000528C9">
              <w:rPr>
                <w:sz w:val="18"/>
                <w:szCs w:val="18"/>
              </w:rPr>
              <w:t xml:space="preserve"> of the nonhazardous co</w:t>
            </w:r>
            <w:r w:rsidR="00707C57" w:rsidRPr="000528C9">
              <w:rPr>
                <w:sz w:val="18"/>
                <w:szCs w:val="18"/>
              </w:rPr>
              <w:t>nstruction and demolition waste</w:t>
            </w:r>
            <w:r w:rsidRPr="000528C9">
              <w:rPr>
                <w:sz w:val="18"/>
                <w:szCs w:val="18"/>
              </w:rPr>
              <w:t>, or meet the local construction and demolition waste management ordinance,</w:t>
            </w:r>
            <w:r w:rsidR="00174379" w:rsidRPr="000528C9">
              <w:rPr>
                <w:sz w:val="18"/>
                <w:szCs w:val="18"/>
              </w:rPr>
              <w:t xml:space="preserve"> whichever is more stringent.  [</w:t>
            </w:r>
            <w:r w:rsidRPr="000528C9">
              <w:rPr>
                <w:sz w:val="18"/>
                <w:szCs w:val="18"/>
              </w:rPr>
              <w:t>4.408.1</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4E4ED880" w14:textId="77777777" w:rsidR="0012790C" w:rsidRPr="000528C9" w:rsidRDefault="0012790C">
            <w:pPr>
              <w:rPr>
                <w:sz w:val="18"/>
                <w:szCs w:val="18"/>
              </w:rPr>
            </w:pPr>
          </w:p>
        </w:tc>
      </w:tr>
      <w:tr w:rsidR="0012790C" w:rsidRPr="000528C9" w14:paraId="61A69041" w14:textId="77777777" w:rsidTr="0054062C">
        <w:tc>
          <w:tcPr>
            <w:tcW w:w="720" w:type="dxa"/>
            <w:tcBorders>
              <w:top w:val="single" w:sz="2" w:space="0" w:color="auto"/>
              <w:left w:val="single" w:sz="2" w:space="0" w:color="auto"/>
              <w:bottom w:val="single" w:sz="2" w:space="0" w:color="auto"/>
              <w:right w:val="single" w:sz="2" w:space="0" w:color="auto"/>
            </w:tcBorders>
          </w:tcPr>
          <w:p w14:paraId="0FD0C0D7" w14:textId="6E413246" w:rsidR="0012790C" w:rsidRPr="000528C9" w:rsidRDefault="00D316C8">
            <w:pPr>
              <w:rPr>
                <w:sz w:val="18"/>
                <w:szCs w:val="18"/>
              </w:rPr>
            </w:pPr>
            <w:r w:rsidRPr="000528C9">
              <w:rPr>
                <w:sz w:val="18"/>
                <w:szCs w:val="18"/>
              </w:rPr>
              <w:t>2</w:t>
            </w:r>
            <w:r w:rsidR="00BB060B">
              <w:rPr>
                <w:sz w:val="18"/>
                <w:szCs w:val="18"/>
              </w:rPr>
              <w:t>5</w:t>
            </w:r>
          </w:p>
        </w:tc>
        <w:tc>
          <w:tcPr>
            <w:tcW w:w="810" w:type="dxa"/>
            <w:tcBorders>
              <w:top w:val="single" w:sz="2" w:space="0" w:color="auto"/>
              <w:left w:val="single" w:sz="2" w:space="0" w:color="auto"/>
              <w:bottom w:val="single" w:sz="2" w:space="0" w:color="auto"/>
              <w:right w:val="single" w:sz="2" w:space="0" w:color="auto"/>
            </w:tcBorders>
          </w:tcPr>
          <w:p w14:paraId="5682C2E2"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17B3C94" w14:textId="77777777" w:rsidR="00D93561" w:rsidRPr="000528C9" w:rsidRDefault="00D93561" w:rsidP="00D93561">
            <w:pPr>
              <w:widowControl w:val="0"/>
              <w:rPr>
                <w:sz w:val="18"/>
                <w:szCs w:val="18"/>
              </w:rPr>
            </w:pPr>
            <w:r w:rsidRPr="000528C9">
              <w:rPr>
                <w:sz w:val="18"/>
                <w:szCs w:val="18"/>
              </w:rPr>
              <w:t>Submit</w:t>
            </w:r>
            <w:r w:rsidR="003748A3" w:rsidRPr="000528C9">
              <w:rPr>
                <w:sz w:val="18"/>
                <w:szCs w:val="18"/>
              </w:rPr>
              <w:t xml:space="preserve"> a </w:t>
            </w:r>
            <w:r w:rsidR="003748A3" w:rsidRPr="000528C9">
              <w:rPr>
                <w:b/>
                <w:sz w:val="18"/>
                <w:szCs w:val="18"/>
              </w:rPr>
              <w:t>construction waste management plan</w:t>
            </w:r>
            <w:r w:rsidR="003748A3" w:rsidRPr="000528C9">
              <w:rPr>
                <w:sz w:val="18"/>
                <w:szCs w:val="18"/>
              </w:rPr>
              <w:t xml:space="preserve"> </w:t>
            </w:r>
            <w:r w:rsidRPr="000528C9">
              <w:rPr>
                <w:sz w:val="18"/>
                <w:szCs w:val="18"/>
              </w:rPr>
              <w:t xml:space="preserve">in conformance with section 4.408.2 items 1 through 5: </w:t>
            </w:r>
          </w:p>
          <w:p w14:paraId="1FCFE9DC" w14:textId="77777777" w:rsidR="003748A3" w:rsidRPr="000528C9" w:rsidRDefault="00D93561">
            <w:pPr>
              <w:pStyle w:val="ListParagraph"/>
              <w:widowControl w:val="0"/>
              <w:numPr>
                <w:ilvl w:val="0"/>
                <w:numId w:val="11"/>
              </w:numPr>
              <w:rPr>
                <w:sz w:val="18"/>
                <w:szCs w:val="18"/>
              </w:rPr>
            </w:pPr>
            <w:r w:rsidRPr="000528C9">
              <w:rPr>
                <w:sz w:val="18"/>
                <w:szCs w:val="18"/>
              </w:rPr>
              <w:t>I</w:t>
            </w:r>
            <w:r w:rsidR="003748A3" w:rsidRPr="000528C9">
              <w:rPr>
                <w:sz w:val="18"/>
                <w:szCs w:val="18"/>
              </w:rPr>
              <w:t xml:space="preserve">dentifies the </w:t>
            </w:r>
            <w:r w:rsidR="00577F34" w:rsidRPr="000528C9">
              <w:rPr>
                <w:sz w:val="18"/>
                <w:szCs w:val="18"/>
              </w:rPr>
              <w:t xml:space="preserve">construction and demolition waste </w:t>
            </w:r>
            <w:r w:rsidR="003748A3" w:rsidRPr="000528C9">
              <w:rPr>
                <w:sz w:val="18"/>
                <w:szCs w:val="18"/>
              </w:rPr>
              <w:t>materials to be diverted from disposal by recycling, reuse on the project or salvage for future use or sale.</w:t>
            </w:r>
          </w:p>
          <w:p w14:paraId="064B6C93" w14:textId="77777777" w:rsidR="003748A3" w:rsidRPr="000528C9" w:rsidRDefault="003748A3">
            <w:pPr>
              <w:pStyle w:val="ListParagraph"/>
              <w:widowControl w:val="0"/>
              <w:numPr>
                <w:ilvl w:val="0"/>
                <w:numId w:val="11"/>
              </w:numPr>
              <w:rPr>
                <w:sz w:val="18"/>
                <w:szCs w:val="18"/>
              </w:rPr>
            </w:pPr>
            <w:r w:rsidRPr="000528C9">
              <w:rPr>
                <w:sz w:val="18"/>
                <w:szCs w:val="18"/>
              </w:rPr>
              <w:t xml:space="preserve">Specifies if </w:t>
            </w:r>
            <w:r w:rsidR="00577F34" w:rsidRPr="000528C9">
              <w:rPr>
                <w:sz w:val="18"/>
                <w:szCs w:val="18"/>
              </w:rPr>
              <w:t xml:space="preserve">construction and demolition waste </w:t>
            </w:r>
            <w:r w:rsidRPr="000528C9">
              <w:rPr>
                <w:sz w:val="18"/>
                <w:szCs w:val="18"/>
              </w:rPr>
              <w:t xml:space="preserve">materials will be sorted on-site </w:t>
            </w:r>
            <w:r w:rsidR="00577F34" w:rsidRPr="000528C9">
              <w:rPr>
                <w:sz w:val="18"/>
                <w:szCs w:val="18"/>
              </w:rPr>
              <w:t xml:space="preserve">(source –separated) </w:t>
            </w:r>
            <w:r w:rsidRPr="000528C9">
              <w:rPr>
                <w:sz w:val="18"/>
                <w:szCs w:val="18"/>
              </w:rPr>
              <w:t xml:space="preserve">or </w:t>
            </w:r>
            <w:r w:rsidR="00577F34" w:rsidRPr="000528C9">
              <w:rPr>
                <w:sz w:val="18"/>
                <w:szCs w:val="18"/>
              </w:rPr>
              <w:t xml:space="preserve">bulk </w:t>
            </w:r>
            <w:r w:rsidRPr="000528C9">
              <w:rPr>
                <w:sz w:val="18"/>
                <w:szCs w:val="18"/>
              </w:rPr>
              <w:t xml:space="preserve">mixed </w:t>
            </w:r>
            <w:r w:rsidR="00577F34" w:rsidRPr="000528C9">
              <w:rPr>
                <w:sz w:val="18"/>
                <w:szCs w:val="18"/>
              </w:rPr>
              <w:t>(single stream)</w:t>
            </w:r>
            <w:r w:rsidRPr="000528C9">
              <w:rPr>
                <w:sz w:val="18"/>
                <w:szCs w:val="18"/>
              </w:rPr>
              <w:t>.</w:t>
            </w:r>
          </w:p>
          <w:p w14:paraId="1690FA1A" w14:textId="77777777" w:rsidR="003748A3" w:rsidRPr="000528C9" w:rsidRDefault="00577F34">
            <w:pPr>
              <w:pStyle w:val="ListParagraph"/>
              <w:widowControl w:val="0"/>
              <w:numPr>
                <w:ilvl w:val="0"/>
                <w:numId w:val="11"/>
              </w:numPr>
              <w:rPr>
                <w:sz w:val="18"/>
                <w:szCs w:val="18"/>
              </w:rPr>
            </w:pPr>
            <w:r w:rsidRPr="000528C9">
              <w:rPr>
                <w:sz w:val="18"/>
                <w:szCs w:val="18"/>
              </w:rPr>
              <w:t>Identifies diversion facilities</w:t>
            </w:r>
            <w:r w:rsidR="003748A3" w:rsidRPr="000528C9">
              <w:rPr>
                <w:sz w:val="18"/>
                <w:szCs w:val="18"/>
              </w:rPr>
              <w:t xml:space="preserve"> where the </w:t>
            </w:r>
            <w:r w:rsidRPr="000528C9">
              <w:rPr>
                <w:sz w:val="18"/>
                <w:szCs w:val="18"/>
              </w:rPr>
              <w:t xml:space="preserve">construction and demolition waste material </w:t>
            </w:r>
            <w:r w:rsidR="003748A3" w:rsidRPr="000528C9">
              <w:rPr>
                <w:sz w:val="18"/>
                <w:szCs w:val="18"/>
              </w:rPr>
              <w:t xml:space="preserve">will be taken.  </w:t>
            </w:r>
          </w:p>
          <w:p w14:paraId="52D781D9" w14:textId="77777777" w:rsidR="003748A3" w:rsidRPr="000528C9" w:rsidRDefault="003748A3">
            <w:pPr>
              <w:pStyle w:val="ListParagraph"/>
              <w:widowControl w:val="0"/>
              <w:numPr>
                <w:ilvl w:val="0"/>
                <w:numId w:val="11"/>
              </w:numPr>
              <w:rPr>
                <w:sz w:val="18"/>
                <w:szCs w:val="18"/>
              </w:rPr>
            </w:pPr>
            <w:r w:rsidRPr="000528C9">
              <w:rPr>
                <w:sz w:val="18"/>
                <w:szCs w:val="18"/>
              </w:rPr>
              <w:t xml:space="preserve">Identifies construction methods employed to reduce the amount of </w:t>
            </w:r>
            <w:r w:rsidR="00577F34" w:rsidRPr="000528C9">
              <w:rPr>
                <w:sz w:val="18"/>
                <w:szCs w:val="18"/>
              </w:rPr>
              <w:t xml:space="preserve">construction and demolition </w:t>
            </w:r>
            <w:r w:rsidRPr="000528C9">
              <w:rPr>
                <w:sz w:val="18"/>
                <w:szCs w:val="18"/>
              </w:rPr>
              <w:t>waste generated.</w:t>
            </w:r>
          </w:p>
          <w:p w14:paraId="7A2A42F6" w14:textId="77777777" w:rsidR="0012790C" w:rsidRDefault="003748A3">
            <w:pPr>
              <w:pStyle w:val="ListParagraph"/>
              <w:widowControl w:val="0"/>
              <w:numPr>
                <w:ilvl w:val="0"/>
                <w:numId w:val="11"/>
              </w:numPr>
              <w:rPr>
                <w:sz w:val="18"/>
                <w:szCs w:val="18"/>
              </w:rPr>
            </w:pPr>
            <w:r w:rsidRPr="000528C9">
              <w:rPr>
                <w:sz w:val="18"/>
                <w:szCs w:val="18"/>
              </w:rPr>
              <w:t xml:space="preserve">Specifies that the amount of </w:t>
            </w:r>
            <w:r w:rsidR="00577F34" w:rsidRPr="000528C9">
              <w:rPr>
                <w:sz w:val="18"/>
                <w:szCs w:val="18"/>
              </w:rPr>
              <w:t xml:space="preserve">construction and demolition waste </w:t>
            </w:r>
            <w:r w:rsidRPr="000528C9">
              <w:rPr>
                <w:sz w:val="18"/>
                <w:szCs w:val="18"/>
              </w:rPr>
              <w:t>materials diverted shall be calculated by weight or volume, but no</w:t>
            </w:r>
            <w:r w:rsidR="00174379" w:rsidRPr="000528C9">
              <w:rPr>
                <w:sz w:val="18"/>
                <w:szCs w:val="18"/>
              </w:rPr>
              <w:t xml:space="preserve">t by both.  </w:t>
            </w:r>
          </w:p>
          <w:p w14:paraId="309D49D5" w14:textId="77777777" w:rsidR="009430D4" w:rsidRPr="000528C9" w:rsidRDefault="009430D4" w:rsidP="009430D4">
            <w:pPr>
              <w:pStyle w:val="ListParagraph"/>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1D264EB7" w14:textId="77777777" w:rsidR="0012790C" w:rsidRPr="000528C9" w:rsidRDefault="0012790C">
            <w:pPr>
              <w:rPr>
                <w:sz w:val="18"/>
                <w:szCs w:val="18"/>
              </w:rPr>
            </w:pPr>
          </w:p>
        </w:tc>
      </w:tr>
      <w:tr w:rsidR="00D93561" w:rsidRPr="000528C9" w14:paraId="28D2D0FC" w14:textId="77777777" w:rsidTr="0054062C">
        <w:tc>
          <w:tcPr>
            <w:tcW w:w="720" w:type="dxa"/>
            <w:tcBorders>
              <w:top w:val="single" w:sz="2" w:space="0" w:color="auto"/>
              <w:left w:val="single" w:sz="2" w:space="0" w:color="auto"/>
              <w:bottom w:val="single" w:sz="2" w:space="0" w:color="auto"/>
              <w:right w:val="single" w:sz="2" w:space="0" w:color="auto"/>
            </w:tcBorders>
          </w:tcPr>
          <w:p w14:paraId="4DF8FC48" w14:textId="6D7024F6" w:rsidR="00D93561" w:rsidRPr="000528C9" w:rsidRDefault="00D93561">
            <w:pPr>
              <w:rPr>
                <w:sz w:val="18"/>
                <w:szCs w:val="18"/>
              </w:rPr>
            </w:pPr>
            <w:r w:rsidRPr="000528C9">
              <w:rPr>
                <w:sz w:val="18"/>
                <w:szCs w:val="18"/>
              </w:rPr>
              <w:t>2</w:t>
            </w:r>
            <w:r w:rsidR="00BB060B">
              <w:rPr>
                <w:sz w:val="18"/>
                <w:szCs w:val="18"/>
              </w:rPr>
              <w:t>6</w:t>
            </w:r>
          </w:p>
        </w:tc>
        <w:tc>
          <w:tcPr>
            <w:tcW w:w="810" w:type="dxa"/>
            <w:tcBorders>
              <w:top w:val="single" w:sz="2" w:space="0" w:color="auto"/>
              <w:left w:val="single" w:sz="2" w:space="0" w:color="auto"/>
              <w:bottom w:val="single" w:sz="2" w:space="0" w:color="auto"/>
              <w:right w:val="single" w:sz="2" w:space="0" w:color="auto"/>
            </w:tcBorders>
          </w:tcPr>
          <w:p w14:paraId="63F33ADC" w14:textId="77777777" w:rsidR="00D93561" w:rsidRPr="000528C9" w:rsidRDefault="00D93561">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525E88F" w14:textId="77777777" w:rsidR="00D93561" w:rsidRPr="000528C9" w:rsidRDefault="00D93561">
            <w:pPr>
              <w:rPr>
                <w:sz w:val="18"/>
                <w:szCs w:val="18"/>
              </w:rPr>
            </w:pPr>
            <w:r w:rsidRPr="000528C9">
              <w:rPr>
                <w:sz w:val="18"/>
                <w:szCs w:val="18"/>
              </w:rPr>
              <w:t xml:space="preserve">Utilize a </w:t>
            </w:r>
            <w:r w:rsidRPr="000528C9">
              <w:rPr>
                <w:b/>
                <w:sz w:val="18"/>
                <w:szCs w:val="18"/>
              </w:rPr>
              <w:t>waste management company</w:t>
            </w:r>
            <w:r w:rsidRPr="000528C9">
              <w:rPr>
                <w:sz w:val="18"/>
                <w:szCs w:val="18"/>
              </w:rPr>
              <w:t>, approved by the enforcing agency, which can provide verifiable documentation that diverted construction and demolition waste materials meet the requirements in Section 4.408.1. [4.408.3]</w:t>
            </w:r>
          </w:p>
        </w:tc>
        <w:tc>
          <w:tcPr>
            <w:tcW w:w="1620" w:type="dxa"/>
            <w:tcBorders>
              <w:top w:val="single" w:sz="2" w:space="0" w:color="auto"/>
              <w:left w:val="single" w:sz="2" w:space="0" w:color="auto"/>
              <w:bottom w:val="single" w:sz="2" w:space="0" w:color="auto"/>
              <w:right w:val="single" w:sz="2" w:space="0" w:color="auto"/>
            </w:tcBorders>
          </w:tcPr>
          <w:p w14:paraId="1A57793D" w14:textId="77777777" w:rsidR="00D93561" w:rsidRPr="000528C9" w:rsidRDefault="00D93561">
            <w:pPr>
              <w:rPr>
                <w:sz w:val="18"/>
                <w:szCs w:val="18"/>
              </w:rPr>
            </w:pPr>
          </w:p>
        </w:tc>
      </w:tr>
      <w:tr w:rsidR="00D93561" w:rsidRPr="000528C9" w14:paraId="57C0447B" w14:textId="77777777" w:rsidTr="0054062C">
        <w:tc>
          <w:tcPr>
            <w:tcW w:w="720" w:type="dxa"/>
            <w:tcBorders>
              <w:top w:val="single" w:sz="2" w:space="0" w:color="auto"/>
              <w:left w:val="single" w:sz="2" w:space="0" w:color="auto"/>
              <w:bottom w:val="single" w:sz="2" w:space="0" w:color="auto"/>
              <w:right w:val="single" w:sz="2" w:space="0" w:color="auto"/>
            </w:tcBorders>
          </w:tcPr>
          <w:p w14:paraId="3AA81363" w14:textId="7604A757" w:rsidR="00D93561" w:rsidRPr="000528C9" w:rsidRDefault="00D93561">
            <w:pPr>
              <w:rPr>
                <w:sz w:val="18"/>
                <w:szCs w:val="18"/>
              </w:rPr>
            </w:pPr>
            <w:r w:rsidRPr="000528C9">
              <w:rPr>
                <w:sz w:val="18"/>
                <w:szCs w:val="18"/>
              </w:rPr>
              <w:t>2</w:t>
            </w:r>
            <w:r w:rsidR="00BB060B">
              <w:rPr>
                <w:sz w:val="18"/>
                <w:szCs w:val="18"/>
              </w:rPr>
              <w:t>7</w:t>
            </w:r>
          </w:p>
        </w:tc>
        <w:tc>
          <w:tcPr>
            <w:tcW w:w="810" w:type="dxa"/>
            <w:tcBorders>
              <w:top w:val="single" w:sz="2" w:space="0" w:color="auto"/>
              <w:left w:val="single" w:sz="2" w:space="0" w:color="auto"/>
              <w:bottom w:val="single" w:sz="2" w:space="0" w:color="auto"/>
              <w:right w:val="single" w:sz="2" w:space="0" w:color="auto"/>
            </w:tcBorders>
          </w:tcPr>
          <w:p w14:paraId="5CFC8D83" w14:textId="77777777" w:rsidR="00D93561" w:rsidRPr="000528C9" w:rsidRDefault="00D93561">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FCDBE8B" w14:textId="77777777" w:rsidR="00D93561" w:rsidRPr="000528C9" w:rsidRDefault="00D93561" w:rsidP="002B2C58">
            <w:pPr>
              <w:rPr>
                <w:sz w:val="18"/>
                <w:szCs w:val="18"/>
              </w:rPr>
            </w:pPr>
            <w:r w:rsidRPr="000528C9">
              <w:rPr>
                <w:sz w:val="18"/>
                <w:szCs w:val="18"/>
              </w:rPr>
              <w:t>Projects that generate a total combined weight of construction and demolition waste disposed in landfills, which do</w:t>
            </w:r>
            <w:r w:rsidR="002B2C58" w:rsidRPr="000528C9">
              <w:rPr>
                <w:sz w:val="18"/>
                <w:szCs w:val="18"/>
              </w:rPr>
              <w:t xml:space="preserve"> not exceed </w:t>
            </w:r>
            <w:r w:rsidR="006D4EFA" w:rsidRPr="000528C9">
              <w:rPr>
                <w:sz w:val="18"/>
                <w:szCs w:val="18"/>
              </w:rPr>
              <w:t>3.</w:t>
            </w:r>
            <w:r w:rsidR="002B2C58" w:rsidRPr="000528C9">
              <w:rPr>
                <w:sz w:val="18"/>
                <w:szCs w:val="18"/>
              </w:rPr>
              <w:t>4 lbs/sqft</w:t>
            </w:r>
            <w:r w:rsidRPr="000528C9">
              <w:rPr>
                <w:sz w:val="18"/>
                <w:szCs w:val="18"/>
              </w:rPr>
              <w:t xml:space="preserve"> of the building area</w:t>
            </w:r>
            <w:r w:rsidR="006D4EFA" w:rsidRPr="000528C9">
              <w:rPr>
                <w:sz w:val="18"/>
                <w:szCs w:val="18"/>
              </w:rPr>
              <w:t xml:space="preserve"> shall meet the minimum 65</w:t>
            </w:r>
            <w:r w:rsidR="002B2C58" w:rsidRPr="000528C9">
              <w:rPr>
                <w:sz w:val="18"/>
                <w:szCs w:val="18"/>
              </w:rPr>
              <w:t>% construction waste reduction requirement in Section 4.408.1</w:t>
            </w:r>
            <w:r w:rsidRPr="000528C9">
              <w:rPr>
                <w:sz w:val="18"/>
                <w:szCs w:val="18"/>
              </w:rPr>
              <w:t>.</w:t>
            </w:r>
            <w:r w:rsidR="002B2C58" w:rsidRPr="000528C9">
              <w:rPr>
                <w:sz w:val="18"/>
                <w:szCs w:val="18"/>
              </w:rPr>
              <w:t xml:space="preserve"> [4.408.4]</w:t>
            </w:r>
          </w:p>
        </w:tc>
        <w:tc>
          <w:tcPr>
            <w:tcW w:w="1620" w:type="dxa"/>
            <w:tcBorders>
              <w:top w:val="single" w:sz="2" w:space="0" w:color="auto"/>
              <w:left w:val="single" w:sz="2" w:space="0" w:color="auto"/>
              <w:bottom w:val="single" w:sz="2" w:space="0" w:color="auto"/>
              <w:right w:val="single" w:sz="2" w:space="0" w:color="auto"/>
            </w:tcBorders>
          </w:tcPr>
          <w:p w14:paraId="7313C02C" w14:textId="77777777" w:rsidR="00D93561" w:rsidRPr="000528C9" w:rsidRDefault="00D93561">
            <w:pPr>
              <w:rPr>
                <w:sz w:val="18"/>
                <w:szCs w:val="18"/>
              </w:rPr>
            </w:pPr>
          </w:p>
        </w:tc>
      </w:tr>
      <w:tr w:rsidR="00977EC1" w:rsidRPr="000528C9" w14:paraId="1AC21D0D" w14:textId="77777777" w:rsidTr="0054062C">
        <w:tc>
          <w:tcPr>
            <w:tcW w:w="720" w:type="dxa"/>
            <w:tcBorders>
              <w:top w:val="single" w:sz="2" w:space="0" w:color="auto"/>
              <w:left w:val="single" w:sz="2" w:space="0" w:color="auto"/>
              <w:bottom w:val="single" w:sz="2" w:space="0" w:color="auto"/>
              <w:right w:val="single" w:sz="2" w:space="0" w:color="auto"/>
            </w:tcBorders>
          </w:tcPr>
          <w:p w14:paraId="060FFD20" w14:textId="52D2CC03" w:rsidR="00977EC1" w:rsidRPr="000528C9" w:rsidRDefault="00BB060B">
            <w:pPr>
              <w:rPr>
                <w:sz w:val="18"/>
                <w:szCs w:val="18"/>
              </w:rPr>
            </w:pPr>
            <w:r>
              <w:rPr>
                <w:sz w:val="18"/>
                <w:szCs w:val="18"/>
              </w:rPr>
              <w:t>28</w:t>
            </w:r>
          </w:p>
        </w:tc>
        <w:tc>
          <w:tcPr>
            <w:tcW w:w="810" w:type="dxa"/>
            <w:tcBorders>
              <w:top w:val="single" w:sz="2" w:space="0" w:color="auto"/>
              <w:left w:val="single" w:sz="2" w:space="0" w:color="auto"/>
              <w:bottom w:val="single" w:sz="2" w:space="0" w:color="auto"/>
              <w:right w:val="single" w:sz="2" w:space="0" w:color="auto"/>
            </w:tcBorders>
          </w:tcPr>
          <w:p w14:paraId="2E6E7151" w14:textId="77777777" w:rsidR="00977EC1" w:rsidRPr="000528C9" w:rsidRDefault="00977EC1">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DFE0F35" w14:textId="77777777" w:rsidR="00977EC1" w:rsidRPr="000528C9" w:rsidRDefault="00977EC1">
            <w:pPr>
              <w:rPr>
                <w:sz w:val="18"/>
                <w:szCs w:val="18"/>
              </w:rPr>
            </w:pPr>
            <w:r w:rsidRPr="000528C9">
              <w:rPr>
                <w:sz w:val="18"/>
                <w:szCs w:val="18"/>
              </w:rPr>
              <w:t xml:space="preserve">Submit </w:t>
            </w:r>
            <w:r w:rsidRPr="000528C9">
              <w:rPr>
                <w:b/>
                <w:sz w:val="18"/>
                <w:szCs w:val="18"/>
              </w:rPr>
              <w:t>documentation</w:t>
            </w:r>
            <w:r w:rsidRPr="000528C9">
              <w:rPr>
                <w:sz w:val="18"/>
                <w:szCs w:val="18"/>
              </w:rPr>
              <w:t xml:space="preserve"> demonstrating compliance with Section 4.408.2 Items 1 through 5, section 4.408.3, or Section 4.408.4. [4.408.5]. </w:t>
            </w:r>
          </w:p>
        </w:tc>
        <w:tc>
          <w:tcPr>
            <w:tcW w:w="1620" w:type="dxa"/>
            <w:tcBorders>
              <w:top w:val="single" w:sz="2" w:space="0" w:color="auto"/>
              <w:left w:val="single" w:sz="2" w:space="0" w:color="auto"/>
              <w:bottom w:val="single" w:sz="2" w:space="0" w:color="auto"/>
              <w:right w:val="single" w:sz="2" w:space="0" w:color="auto"/>
            </w:tcBorders>
          </w:tcPr>
          <w:p w14:paraId="769A5BD6" w14:textId="77777777" w:rsidR="00977EC1" w:rsidRPr="000528C9" w:rsidRDefault="00977EC1">
            <w:pPr>
              <w:rPr>
                <w:sz w:val="18"/>
                <w:szCs w:val="18"/>
              </w:rPr>
            </w:pPr>
          </w:p>
        </w:tc>
      </w:tr>
      <w:tr w:rsidR="0012790C" w:rsidRPr="000528C9" w14:paraId="5B9D6D47" w14:textId="77777777" w:rsidTr="0054062C">
        <w:tc>
          <w:tcPr>
            <w:tcW w:w="720" w:type="dxa"/>
            <w:tcBorders>
              <w:top w:val="single" w:sz="2" w:space="0" w:color="auto"/>
              <w:left w:val="single" w:sz="2" w:space="0" w:color="auto"/>
              <w:bottom w:val="single" w:sz="2" w:space="0" w:color="auto"/>
              <w:right w:val="single" w:sz="2" w:space="0" w:color="auto"/>
            </w:tcBorders>
          </w:tcPr>
          <w:p w14:paraId="23E13C63" w14:textId="4C48E85C" w:rsidR="0012790C" w:rsidRPr="000528C9" w:rsidRDefault="00BB060B">
            <w:pPr>
              <w:rPr>
                <w:sz w:val="18"/>
                <w:szCs w:val="18"/>
              </w:rPr>
            </w:pPr>
            <w:r>
              <w:rPr>
                <w:sz w:val="18"/>
                <w:szCs w:val="18"/>
              </w:rPr>
              <w:t>29</w:t>
            </w:r>
          </w:p>
        </w:tc>
        <w:tc>
          <w:tcPr>
            <w:tcW w:w="810" w:type="dxa"/>
            <w:tcBorders>
              <w:top w:val="single" w:sz="2" w:space="0" w:color="auto"/>
              <w:left w:val="single" w:sz="2" w:space="0" w:color="auto"/>
              <w:bottom w:val="single" w:sz="2" w:space="0" w:color="auto"/>
              <w:right w:val="single" w:sz="2" w:space="0" w:color="auto"/>
            </w:tcBorders>
          </w:tcPr>
          <w:p w14:paraId="12D67271"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7F10FAC" w14:textId="77777777" w:rsidR="0012790C" w:rsidRPr="000528C9" w:rsidRDefault="003748A3">
            <w:pPr>
              <w:rPr>
                <w:sz w:val="18"/>
                <w:szCs w:val="18"/>
              </w:rPr>
            </w:pPr>
            <w:r w:rsidRPr="000528C9">
              <w:rPr>
                <w:sz w:val="18"/>
                <w:szCs w:val="18"/>
              </w:rPr>
              <w:t xml:space="preserve">Note on the drawings that an </w:t>
            </w:r>
            <w:r w:rsidRPr="000528C9">
              <w:rPr>
                <w:b/>
                <w:sz w:val="18"/>
                <w:szCs w:val="18"/>
              </w:rPr>
              <w:t>Operation and Maintenance Manual</w:t>
            </w:r>
            <w:r w:rsidRPr="000528C9">
              <w:rPr>
                <w:sz w:val="18"/>
                <w:szCs w:val="18"/>
              </w:rPr>
              <w:t xml:space="preserve"> with content per 4.410.1 and in a format acceptable to the enforcing agency shall be placed in the building at the time</w:t>
            </w:r>
            <w:r w:rsidR="00174379" w:rsidRPr="000528C9">
              <w:rPr>
                <w:sz w:val="18"/>
                <w:szCs w:val="18"/>
              </w:rPr>
              <w:t xml:space="preserve"> o</w:t>
            </w:r>
            <w:r w:rsidR="00496ABC" w:rsidRPr="000528C9">
              <w:rPr>
                <w:sz w:val="18"/>
                <w:szCs w:val="18"/>
              </w:rPr>
              <w:t>f final inspection [</w:t>
            </w:r>
            <w:r w:rsidR="00174379" w:rsidRPr="000528C9">
              <w:rPr>
                <w:sz w:val="18"/>
                <w:szCs w:val="18"/>
              </w:rPr>
              <w:t>4.410.1]</w:t>
            </w:r>
            <w:r w:rsidR="00496ABC" w:rsidRPr="000528C9">
              <w:rPr>
                <w:sz w:val="18"/>
                <w:szCs w:val="18"/>
              </w:rPr>
              <w:t>.</w:t>
            </w:r>
            <w:r w:rsidRPr="000528C9">
              <w:rPr>
                <w:sz w:val="18"/>
                <w:szCs w:val="18"/>
              </w:rPr>
              <w:t xml:space="preserve">  Refer to HCD residential guide for manual format and suggested content.</w:t>
            </w:r>
          </w:p>
        </w:tc>
        <w:tc>
          <w:tcPr>
            <w:tcW w:w="1620" w:type="dxa"/>
            <w:tcBorders>
              <w:top w:val="single" w:sz="2" w:space="0" w:color="auto"/>
              <w:left w:val="single" w:sz="2" w:space="0" w:color="auto"/>
              <w:bottom w:val="single" w:sz="2" w:space="0" w:color="auto"/>
              <w:right w:val="single" w:sz="2" w:space="0" w:color="auto"/>
            </w:tcBorders>
          </w:tcPr>
          <w:p w14:paraId="05F32349" w14:textId="77777777" w:rsidR="0012790C" w:rsidRPr="000528C9" w:rsidRDefault="0012790C">
            <w:pPr>
              <w:rPr>
                <w:sz w:val="18"/>
                <w:szCs w:val="18"/>
              </w:rPr>
            </w:pPr>
          </w:p>
        </w:tc>
      </w:tr>
      <w:tr w:rsidR="00F93098" w:rsidRPr="000528C9" w14:paraId="56A63C40" w14:textId="77777777" w:rsidTr="0054062C">
        <w:tc>
          <w:tcPr>
            <w:tcW w:w="720" w:type="dxa"/>
            <w:tcBorders>
              <w:top w:val="single" w:sz="2" w:space="0" w:color="auto"/>
              <w:left w:val="single" w:sz="2" w:space="0" w:color="auto"/>
              <w:bottom w:val="single" w:sz="2" w:space="0" w:color="auto"/>
              <w:right w:val="single" w:sz="2" w:space="0" w:color="auto"/>
            </w:tcBorders>
          </w:tcPr>
          <w:p w14:paraId="41761AC1" w14:textId="3814BFAB" w:rsidR="00F93098" w:rsidRPr="000528C9" w:rsidRDefault="00574657">
            <w:pPr>
              <w:rPr>
                <w:sz w:val="18"/>
                <w:szCs w:val="18"/>
              </w:rPr>
            </w:pPr>
            <w:r w:rsidRPr="000528C9">
              <w:rPr>
                <w:sz w:val="18"/>
                <w:szCs w:val="18"/>
              </w:rPr>
              <w:lastRenderedPageBreak/>
              <w:t>3</w:t>
            </w:r>
            <w:r w:rsidR="00BB060B">
              <w:rPr>
                <w:sz w:val="18"/>
                <w:szCs w:val="18"/>
              </w:rPr>
              <w:t>0</w:t>
            </w:r>
          </w:p>
        </w:tc>
        <w:tc>
          <w:tcPr>
            <w:tcW w:w="810" w:type="dxa"/>
            <w:tcBorders>
              <w:top w:val="single" w:sz="2" w:space="0" w:color="auto"/>
              <w:left w:val="single" w:sz="2" w:space="0" w:color="auto"/>
              <w:bottom w:val="single" w:sz="2" w:space="0" w:color="auto"/>
              <w:right w:val="single" w:sz="2" w:space="0" w:color="auto"/>
            </w:tcBorders>
          </w:tcPr>
          <w:p w14:paraId="6AED2F68" w14:textId="77777777" w:rsidR="00F93098" w:rsidRPr="000528C9" w:rsidRDefault="00F93098">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840AC0F" w14:textId="77777777" w:rsidR="00F93098" w:rsidRPr="000528C9" w:rsidRDefault="00F93098">
            <w:pPr>
              <w:rPr>
                <w:sz w:val="18"/>
                <w:szCs w:val="18"/>
              </w:rPr>
            </w:pPr>
            <w:r w:rsidRPr="000528C9">
              <w:rPr>
                <w:sz w:val="18"/>
                <w:szCs w:val="18"/>
              </w:rPr>
              <w:t>Where 5 or more multifamily dwelling units are constructed on a building site, provide readily accessible area(s) that serve all buildings on the site and is identified for depositing, storage and collection on non-hazardous materials for recycling including (at a minimum) paper, corrugated cardboard, glass plastics, organic waste, and metals, or meet a lawfully enacted local recycling ordinance, if more restrictive. [4.410.2]</w:t>
            </w:r>
          </w:p>
        </w:tc>
        <w:tc>
          <w:tcPr>
            <w:tcW w:w="1620" w:type="dxa"/>
            <w:tcBorders>
              <w:top w:val="single" w:sz="2" w:space="0" w:color="auto"/>
              <w:left w:val="single" w:sz="2" w:space="0" w:color="auto"/>
              <w:bottom w:val="single" w:sz="2" w:space="0" w:color="auto"/>
              <w:right w:val="single" w:sz="2" w:space="0" w:color="auto"/>
            </w:tcBorders>
          </w:tcPr>
          <w:p w14:paraId="541577EA" w14:textId="77777777" w:rsidR="00F93098" w:rsidRPr="000528C9" w:rsidRDefault="00F93098">
            <w:pPr>
              <w:rPr>
                <w:sz w:val="18"/>
                <w:szCs w:val="18"/>
              </w:rPr>
            </w:pPr>
          </w:p>
        </w:tc>
      </w:tr>
      <w:tr w:rsidR="0012790C" w:rsidRPr="000528C9" w14:paraId="7AE67FEC" w14:textId="77777777" w:rsidTr="0054062C">
        <w:tc>
          <w:tcPr>
            <w:tcW w:w="720" w:type="dxa"/>
            <w:tcBorders>
              <w:top w:val="single" w:sz="2" w:space="0" w:color="auto"/>
              <w:left w:val="single" w:sz="2" w:space="0" w:color="auto"/>
              <w:bottom w:val="single" w:sz="2" w:space="0" w:color="auto"/>
              <w:right w:val="single" w:sz="2" w:space="0" w:color="auto"/>
            </w:tcBorders>
          </w:tcPr>
          <w:p w14:paraId="426240D6" w14:textId="0799E49D" w:rsidR="0012790C" w:rsidRPr="000528C9" w:rsidRDefault="00574657">
            <w:pPr>
              <w:rPr>
                <w:sz w:val="18"/>
                <w:szCs w:val="18"/>
              </w:rPr>
            </w:pPr>
            <w:r w:rsidRPr="000528C9">
              <w:rPr>
                <w:sz w:val="18"/>
                <w:szCs w:val="18"/>
              </w:rPr>
              <w:t>3</w:t>
            </w:r>
            <w:r w:rsidR="00BB060B">
              <w:rPr>
                <w:sz w:val="18"/>
                <w:szCs w:val="18"/>
              </w:rPr>
              <w:t>1</w:t>
            </w:r>
          </w:p>
        </w:tc>
        <w:tc>
          <w:tcPr>
            <w:tcW w:w="810" w:type="dxa"/>
            <w:tcBorders>
              <w:top w:val="single" w:sz="2" w:space="0" w:color="auto"/>
              <w:left w:val="single" w:sz="2" w:space="0" w:color="auto"/>
              <w:bottom w:val="single" w:sz="2" w:space="0" w:color="auto"/>
              <w:right w:val="single" w:sz="2" w:space="0" w:color="auto"/>
            </w:tcBorders>
          </w:tcPr>
          <w:p w14:paraId="4E5E268F"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CFA2D78" w14:textId="77777777" w:rsidR="0012790C" w:rsidRPr="000528C9" w:rsidRDefault="003748A3" w:rsidP="00A256A4">
            <w:pPr>
              <w:rPr>
                <w:sz w:val="18"/>
                <w:szCs w:val="18"/>
              </w:rPr>
            </w:pPr>
            <w:r w:rsidRPr="000528C9">
              <w:rPr>
                <w:sz w:val="18"/>
                <w:szCs w:val="18"/>
              </w:rPr>
              <w:t xml:space="preserve">Gas </w:t>
            </w:r>
            <w:r w:rsidRPr="000528C9">
              <w:rPr>
                <w:b/>
                <w:sz w:val="18"/>
                <w:szCs w:val="18"/>
              </w:rPr>
              <w:t>fireplaces</w:t>
            </w:r>
            <w:r w:rsidR="00A256A4" w:rsidRPr="000528C9">
              <w:rPr>
                <w:sz w:val="18"/>
                <w:szCs w:val="18"/>
              </w:rPr>
              <w:t xml:space="preserve"> shall</w:t>
            </w:r>
            <w:r w:rsidRPr="000528C9">
              <w:rPr>
                <w:sz w:val="18"/>
                <w:szCs w:val="18"/>
              </w:rPr>
              <w:t xml:space="preserve"> be direct-vent sealed-combustion type. </w:t>
            </w:r>
            <w:r w:rsidRPr="000528C9">
              <w:rPr>
                <w:b/>
                <w:sz w:val="18"/>
                <w:szCs w:val="18"/>
              </w:rPr>
              <w:t>Woodstoves or pellet stoves</w:t>
            </w:r>
            <w:r w:rsidR="00F93098" w:rsidRPr="000528C9">
              <w:rPr>
                <w:sz w:val="18"/>
                <w:szCs w:val="18"/>
              </w:rPr>
              <w:t xml:space="preserve"> shall comply with U.S. EPA New Source Performance Standards (NSPS) </w:t>
            </w:r>
            <w:r w:rsidR="00174379" w:rsidRPr="000528C9">
              <w:rPr>
                <w:sz w:val="18"/>
                <w:szCs w:val="18"/>
              </w:rPr>
              <w:t>emission limits [4.503.1]</w:t>
            </w:r>
            <w:r w:rsidR="00496ABC" w:rsidRPr="000528C9">
              <w:rPr>
                <w:sz w:val="18"/>
                <w:szCs w:val="18"/>
              </w:rPr>
              <w:t>.</w:t>
            </w:r>
            <w:r w:rsidRPr="000528C9">
              <w:rPr>
                <w:sz w:val="18"/>
                <w:szCs w:val="18"/>
              </w:rPr>
              <w:t xml:space="preserve">  Note: reference SCAQMD Rule 445.</w:t>
            </w:r>
          </w:p>
        </w:tc>
        <w:tc>
          <w:tcPr>
            <w:tcW w:w="1620" w:type="dxa"/>
            <w:tcBorders>
              <w:top w:val="single" w:sz="2" w:space="0" w:color="auto"/>
              <w:left w:val="single" w:sz="2" w:space="0" w:color="auto"/>
              <w:bottom w:val="single" w:sz="2" w:space="0" w:color="auto"/>
              <w:right w:val="single" w:sz="2" w:space="0" w:color="auto"/>
            </w:tcBorders>
          </w:tcPr>
          <w:p w14:paraId="74AF0F2F" w14:textId="77777777" w:rsidR="0012790C" w:rsidRPr="000528C9" w:rsidRDefault="0012790C">
            <w:pPr>
              <w:rPr>
                <w:sz w:val="18"/>
                <w:szCs w:val="18"/>
              </w:rPr>
            </w:pPr>
          </w:p>
        </w:tc>
      </w:tr>
      <w:tr w:rsidR="0012790C" w:rsidRPr="000528C9" w14:paraId="75BA5223" w14:textId="77777777" w:rsidTr="0054062C">
        <w:tc>
          <w:tcPr>
            <w:tcW w:w="720" w:type="dxa"/>
            <w:tcBorders>
              <w:top w:val="single" w:sz="2" w:space="0" w:color="auto"/>
              <w:left w:val="single" w:sz="2" w:space="0" w:color="auto"/>
              <w:bottom w:val="single" w:sz="2" w:space="0" w:color="auto"/>
              <w:right w:val="single" w:sz="2" w:space="0" w:color="auto"/>
            </w:tcBorders>
          </w:tcPr>
          <w:p w14:paraId="77C678B1" w14:textId="08B18D67" w:rsidR="0012790C" w:rsidRPr="000528C9" w:rsidRDefault="004D109D">
            <w:pPr>
              <w:rPr>
                <w:sz w:val="18"/>
                <w:szCs w:val="18"/>
              </w:rPr>
            </w:pPr>
            <w:r w:rsidRPr="000528C9">
              <w:rPr>
                <w:sz w:val="18"/>
                <w:szCs w:val="18"/>
              </w:rPr>
              <w:t>3</w:t>
            </w:r>
            <w:r w:rsidR="00BB060B">
              <w:rPr>
                <w:sz w:val="18"/>
                <w:szCs w:val="18"/>
              </w:rPr>
              <w:t>2</w:t>
            </w:r>
          </w:p>
        </w:tc>
        <w:tc>
          <w:tcPr>
            <w:tcW w:w="810" w:type="dxa"/>
            <w:tcBorders>
              <w:top w:val="single" w:sz="2" w:space="0" w:color="auto"/>
              <w:left w:val="single" w:sz="2" w:space="0" w:color="auto"/>
              <w:bottom w:val="single" w:sz="2" w:space="0" w:color="auto"/>
              <w:right w:val="single" w:sz="2" w:space="0" w:color="auto"/>
            </w:tcBorders>
          </w:tcPr>
          <w:p w14:paraId="1411172A"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EB25948" w14:textId="77777777" w:rsidR="0012790C" w:rsidRPr="000528C9" w:rsidRDefault="003748A3">
            <w:pPr>
              <w:rPr>
                <w:sz w:val="18"/>
                <w:szCs w:val="18"/>
              </w:rPr>
            </w:pPr>
            <w:r w:rsidRPr="000528C9">
              <w:rPr>
                <w:sz w:val="18"/>
                <w:szCs w:val="18"/>
              </w:rPr>
              <w:t xml:space="preserve">All </w:t>
            </w:r>
            <w:r w:rsidRPr="000528C9">
              <w:rPr>
                <w:b/>
                <w:sz w:val="18"/>
                <w:szCs w:val="18"/>
              </w:rPr>
              <w:t>duct openings</w:t>
            </w:r>
            <w:r w:rsidRPr="000528C9">
              <w:rPr>
                <w:sz w:val="18"/>
                <w:szCs w:val="18"/>
              </w:rPr>
              <w:t xml:space="preserve"> and other air distribution component openings shall be protected during storage on the construction site until final start-up with tape, plastic, sheet metal, or other acceptable methods to reduce the amount of dust and debris whi</w:t>
            </w:r>
            <w:r w:rsidR="00174379" w:rsidRPr="000528C9">
              <w:rPr>
                <w:sz w:val="18"/>
                <w:szCs w:val="18"/>
              </w:rPr>
              <w:t>ch may collect in the system.  [</w:t>
            </w:r>
            <w:r w:rsidRPr="000528C9">
              <w:rPr>
                <w:sz w:val="18"/>
                <w:szCs w:val="18"/>
              </w:rPr>
              <w:t>4.504.1</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4B1813BF" w14:textId="77777777" w:rsidR="0012790C" w:rsidRPr="000528C9" w:rsidRDefault="0012790C">
            <w:pPr>
              <w:rPr>
                <w:sz w:val="18"/>
                <w:szCs w:val="18"/>
              </w:rPr>
            </w:pPr>
          </w:p>
        </w:tc>
      </w:tr>
      <w:tr w:rsidR="0012790C" w:rsidRPr="000528C9" w14:paraId="795C1F9B" w14:textId="77777777" w:rsidTr="0054062C">
        <w:tc>
          <w:tcPr>
            <w:tcW w:w="720" w:type="dxa"/>
            <w:tcBorders>
              <w:top w:val="single" w:sz="2" w:space="0" w:color="auto"/>
              <w:left w:val="single" w:sz="2" w:space="0" w:color="auto"/>
              <w:bottom w:val="single" w:sz="2" w:space="0" w:color="auto"/>
              <w:right w:val="single" w:sz="2" w:space="0" w:color="auto"/>
            </w:tcBorders>
          </w:tcPr>
          <w:p w14:paraId="07EDFB0F" w14:textId="3F66D5AC" w:rsidR="0012790C" w:rsidRPr="000528C9" w:rsidRDefault="003310DD">
            <w:pPr>
              <w:rPr>
                <w:sz w:val="18"/>
                <w:szCs w:val="18"/>
              </w:rPr>
            </w:pPr>
            <w:r w:rsidRPr="000528C9">
              <w:rPr>
                <w:sz w:val="18"/>
                <w:szCs w:val="18"/>
              </w:rPr>
              <w:t>3</w:t>
            </w:r>
            <w:r w:rsidR="00BB060B">
              <w:rPr>
                <w:sz w:val="18"/>
                <w:szCs w:val="18"/>
              </w:rPr>
              <w:t>3</w:t>
            </w:r>
          </w:p>
        </w:tc>
        <w:tc>
          <w:tcPr>
            <w:tcW w:w="810" w:type="dxa"/>
            <w:tcBorders>
              <w:top w:val="single" w:sz="2" w:space="0" w:color="auto"/>
              <w:left w:val="single" w:sz="2" w:space="0" w:color="auto"/>
              <w:bottom w:val="single" w:sz="2" w:space="0" w:color="auto"/>
              <w:right w:val="single" w:sz="2" w:space="0" w:color="auto"/>
            </w:tcBorders>
          </w:tcPr>
          <w:p w14:paraId="4FC5291E"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9C7465A" w14:textId="77777777" w:rsidR="0012790C" w:rsidRPr="000528C9" w:rsidRDefault="003748A3">
            <w:pPr>
              <w:rPr>
                <w:sz w:val="18"/>
                <w:szCs w:val="18"/>
              </w:rPr>
            </w:pPr>
            <w:r w:rsidRPr="000528C9">
              <w:rPr>
                <w:sz w:val="18"/>
                <w:szCs w:val="18"/>
              </w:rPr>
              <w:t>Finish materials shall comply with this section:</w:t>
            </w:r>
          </w:p>
          <w:p w14:paraId="3E8B72A5" w14:textId="77777777" w:rsidR="003748A3" w:rsidRDefault="003748A3">
            <w:pPr>
              <w:rPr>
                <w:sz w:val="18"/>
                <w:szCs w:val="18"/>
              </w:rPr>
            </w:pPr>
            <w:r w:rsidRPr="000528C9">
              <w:rPr>
                <w:b/>
                <w:sz w:val="18"/>
                <w:szCs w:val="18"/>
              </w:rPr>
              <w:t>Adhesives</w:t>
            </w:r>
            <w:r w:rsidRPr="000528C9">
              <w:rPr>
                <w:sz w:val="18"/>
                <w:szCs w:val="18"/>
              </w:rPr>
              <w:t xml:space="preserve">, adhesive bonding primers, adhesive primers, sealants, sealant primers, and caulks shall comply with local or regional air pollution control or air quality management </w:t>
            </w:r>
            <w:r w:rsidR="0027216E" w:rsidRPr="000528C9">
              <w:rPr>
                <w:sz w:val="18"/>
                <w:szCs w:val="18"/>
              </w:rPr>
              <w:t>district rules where applicable</w:t>
            </w:r>
            <w:r w:rsidRPr="000528C9">
              <w:rPr>
                <w:sz w:val="18"/>
                <w:szCs w:val="18"/>
              </w:rPr>
              <w:t xml:space="preserve"> or meet the requirement of SCAQMD Rule 1168 VOC limits</w:t>
            </w:r>
            <w:r w:rsidR="0027216E" w:rsidRPr="000528C9">
              <w:rPr>
                <w:sz w:val="18"/>
                <w:szCs w:val="18"/>
              </w:rPr>
              <w:t>, as shown in Table 4.405.1 or 4.405.2</w:t>
            </w:r>
            <w:r w:rsidRPr="000528C9">
              <w:rPr>
                <w:sz w:val="18"/>
                <w:szCs w:val="18"/>
              </w:rPr>
              <w:t xml:space="preserve"> and prohibition on the use of certain </w:t>
            </w:r>
            <w:r w:rsidR="003E39DC" w:rsidRPr="000528C9">
              <w:rPr>
                <w:sz w:val="18"/>
                <w:szCs w:val="18"/>
              </w:rPr>
              <w:t>toxic compounds</w:t>
            </w:r>
            <w:r w:rsidR="00174379" w:rsidRPr="000528C9">
              <w:rPr>
                <w:sz w:val="18"/>
                <w:szCs w:val="18"/>
              </w:rPr>
              <w:t xml:space="preserve">, except </w:t>
            </w:r>
            <w:r w:rsidR="003E39DC" w:rsidRPr="000528C9">
              <w:rPr>
                <w:sz w:val="18"/>
                <w:szCs w:val="18"/>
              </w:rPr>
              <w:t xml:space="preserve">for aerosol products </w:t>
            </w:r>
            <w:r w:rsidR="00174379" w:rsidRPr="000528C9">
              <w:rPr>
                <w:sz w:val="18"/>
                <w:szCs w:val="18"/>
              </w:rPr>
              <w:t>per subsection 2.  [</w:t>
            </w:r>
            <w:r w:rsidRPr="000528C9">
              <w:rPr>
                <w:sz w:val="18"/>
                <w:szCs w:val="18"/>
              </w:rPr>
              <w:t>4.504.2.1, subsection 1</w:t>
            </w:r>
            <w:r w:rsidR="00174379" w:rsidRPr="000528C9">
              <w:rPr>
                <w:sz w:val="18"/>
                <w:szCs w:val="18"/>
              </w:rPr>
              <w:t>]</w:t>
            </w:r>
          </w:p>
          <w:p w14:paraId="4CE2DE76" w14:textId="77777777" w:rsidR="009430D4" w:rsidRPr="000528C9" w:rsidRDefault="009430D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367D20B2" w14:textId="77777777" w:rsidR="0012790C" w:rsidRPr="000528C9" w:rsidRDefault="0012790C">
            <w:pPr>
              <w:rPr>
                <w:sz w:val="18"/>
                <w:szCs w:val="18"/>
              </w:rPr>
            </w:pPr>
          </w:p>
        </w:tc>
      </w:tr>
      <w:tr w:rsidR="0012790C" w:rsidRPr="000528C9" w14:paraId="5278EB71" w14:textId="77777777" w:rsidTr="0054062C">
        <w:tc>
          <w:tcPr>
            <w:tcW w:w="720" w:type="dxa"/>
            <w:tcBorders>
              <w:top w:val="single" w:sz="2" w:space="0" w:color="auto"/>
              <w:left w:val="single" w:sz="2" w:space="0" w:color="auto"/>
              <w:bottom w:val="single" w:sz="2" w:space="0" w:color="auto"/>
              <w:right w:val="single" w:sz="2" w:space="0" w:color="auto"/>
            </w:tcBorders>
          </w:tcPr>
          <w:p w14:paraId="5E35806E" w14:textId="4F673B46" w:rsidR="0012790C" w:rsidRPr="000528C9" w:rsidRDefault="003C2221">
            <w:pPr>
              <w:rPr>
                <w:sz w:val="18"/>
                <w:szCs w:val="18"/>
              </w:rPr>
            </w:pPr>
            <w:r w:rsidRPr="000528C9">
              <w:rPr>
                <w:sz w:val="18"/>
                <w:szCs w:val="18"/>
              </w:rPr>
              <w:t>3</w:t>
            </w:r>
            <w:r w:rsidR="00BB060B">
              <w:rPr>
                <w:sz w:val="18"/>
                <w:szCs w:val="18"/>
              </w:rPr>
              <w:t>4</w:t>
            </w:r>
          </w:p>
        </w:tc>
        <w:tc>
          <w:tcPr>
            <w:tcW w:w="810" w:type="dxa"/>
            <w:tcBorders>
              <w:top w:val="single" w:sz="2" w:space="0" w:color="auto"/>
              <w:left w:val="single" w:sz="2" w:space="0" w:color="auto"/>
              <w:bottom w:val="single" w:sz="2" w:space="0" w:color="auto"/>
              <w:right w:val="single" w:sz="2" w:space="0" w:color="auto"/>
            </w:tcBorders>
          </w:tcPr>
          <w:p w14:paraId="458CF75E" w14:textId="77777777" w:rsidR="0012790C" w:rsidRPr="000528C9" w:rsidRDefault="0012790C">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A29BDBB" w14:textId="77777777" w:rsidR="0012790C" w:rsidRDefault="003748A3">
            <w:pPr>
              <w:rPr>
                <w:sz w:val="18"/>
                <w:szCs w:val="18"/>
              </w:rPr>
            </w:pPr>
            <w:r w:rsidRPr="000528C9">
              <w:rPr>
                <w:sz w:val="18"/>
                <w:szCs w:val="18"/>
              </w:rPr>
              <w:t xml:space="preserve">Note on the plans that </w:t>
            </w:r>
            <w:r w:rsidRPr="000528C9">
              <w:rPr>
                <w:b/>
                <w:sz w:val="18"/>
                <w:szCs w:val="18"/>
              </w:rPr>
              <w:t>aerosol</w:t>
            </w:r>
            <w:r w:rsidRPr="000528C9">
              <w:rPr>
                <w:sz w:val="18"/>
                <w:szCs w:val="18"/>
              </w:rPr>
              <w:t xml:space="preserve"> adhesives, smaller unit sizes of adhesives, and sealant or caulking compounds (in units of product, less packing, which do not weigh more than 1 pound and do not consist of more than 16 fluid ounces shall comply with statewide VOC standards and other requirements, including prohibitions on the use of certain toxic compounds, of CCR, Title 17, c</w:t>
            </w:r>
            <w:r w:rsidR="00174379" w:rsidRPr="000528C9">
              <w:rPr>
                <w:sz w:val="18"/>
                <w:szCs w:val="18"/>
              </w:rPr>
              <w:t>ommencing with Section 94507.  [</w:t>
            </w:r>
            <w:r w:rsidRPr="000528C9">
              <w:rPr>
                <w:sz w:val="18"/>
                <w:szCs w:val="18"/>
              </w:rPr>
              <w:t>4.504.2.1, subsection 2</w:t>
            </w:r>
            <w:r w:rsidR="00174379" w:rsidRPr="000528C9">
              <w:rPr>
                <w:sz w:val="18"/>
                <w:szCs w:val="18"/>
              </w:rPr>
              <w:t>]</w:t>
            </w:r>
          </w:p>
          <w:p w14:paraId="4BFAB135" w14:textId="77777777" w:rsidR="009430D4" w:rsidRPr="000528C9" w:rsidRDefault="009430D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6B6D12D8" w14:textId="77777777" w:rsidR="0012790C" w:rsidRPr="000528C9" w:rsidRDefault="0012790C">
            <w:pPr>
              <w:rPr>
                <w:sz w:val="18"/>
                <w:szCs w:val="18"/>
              </w:rPr>
            </w:pPr>
          </w:p>
        </w:tc>
      </w:tr>
      <w:tr w:rsidR="003748A3" w:rsidRPr="000528C9" w14:paraId="49D957C7" w14:textId="77777777" w:rsidTr="0054062C">
        <w:tc>
          <w:tcPr>
            <w:tcW w:w="720" w:type="dxa"/>
            <w:tcBorders>
              <w:top w:val="single" w:sz="2" w:space="0" w:color="auto"/>
              <w:left w:val="single" w:sz="2" w:space="0" w:color="auto"/>
              <w:bottom w:val="single" w:sz="2" w:space="0" w:color="auto"/>
              <w:right w:val="single" w:sz="2" w:space="0" w:color="auto"/>
            </w:tcBorders>
          </w:tcPr>
          <w:p w14:paraId="03ED3B60" w14:textId="00AA2D9E" w:rsidR="003748A3" w:rsidRPr="000528C9" w:rsidRDefault="00013E22">
            <w:pPr>
              <w:rPr>
                <w:sz w:val="18"/>
                <w:szCs w:val="18"/>
              </w:rPr>
            </w:pPr>
            <w:r w:rsidRPr="000528C9">
              <w:rPr>
                <w:sz w:val="18"/>
                <w:szCs w:val="18"/>
              </w:rPr>
              <w:t>3</w:t>
            </w:r>
            <w:r w:rsidR="00BB060B">
              <w:rPr>
                <w:sz w:val="18"/>
                <w:szCs w:val="18"/>
              </w:rPr>
              <w:t>5</w:t>
            </w:r>
          </w:p>
        </w:tc>
        <w:tc>
          <w:tcPr>
            <w:tcW w:w="810" w:type="dxa"/>
            <w:tcBorders>
              <w:top w:val="single" w:sz="2" w:space="0" w:color="auto"/>
              <w:left w:val="single" w:sz="2" w:space="0" w:color="auto"/>
              <w:bottom w:val="single" w:sz="2" w:space="0" w:color="auto"/>
              <w:right w:val="single" w:sz="2" w:space="0" w:color="auto"/>
            </w:tcBorders>
          </w:tcPr>
          <w:p w14:paraId="3F0B85E0" w14:textId="77777777" w:rsidR="003748A3" w:rsidRPr="000528C9" w:rsidRDefault="003748A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81BBE76" w14:textId="77777777" w:rsidR="003748A3" w:rsidRPr="000528C9" w:rsidRDefault="004F7EF3">
            <w:pPr>
              <w:rPr>
                <w:sz w:val="18"/>
                <w:szCs w:val="18"/>
              </w:rPr>
            </w:pPr>
            <w:r w:rsidRPr="000528C9">
              <w:rPr>
                <w:b/>
                <w:sz w:val="18"/>
                <w:szCs w:val="18"/>
              </w:rPr>
              <w:t>VOC Content Limits</w:t>
            </w:r>
            <w:r w:rsidRPr="000528C9">
              <w:rPr>
                <w:sz w:val="18"/>
                <w:szCs w:val="18"/>
              </w:rPr>
              <w:t xml:space="preserve"> for Architectural Coatings (Architectural Paints) shall comply with Table 4.504.3.</w:t>
            </w:r>
            <w:r w:rsidR="005F7191" w:rsidRPr="000528C9">
              <w:rPr>
                <w:sz w:val="18"/>
                <w:szCs w:val="18"/>
              </w:rPr>
              <w:t xml:space="preserve"> [4.504.2.2]</w:t>
            </w:r>
          </w:p>
        </w:tc>
        <w:tc>
          <w:tcPr>
            <w:tcW w:w="1620" w:type="dxa"/>
            <w:tcBorders>
              <w:top w:val="single" w:sz="2" w:space="0" w:color="auto"/>
              <w:left w:val="single" w:sz="2" w:space="0" w:color="auto"/>
              <w:bottom w:val="single" w:sz="2" w:space="0" w:color="auto"/>
              <w:right w:val="single" w:sz="2" w:space="0" w:color="auto"/>
            </w:tcBorders>
          </w:tcPr>
          <w:p w14:paraId="1B6697C6" w14:textId="77777777" w:rsidR="003748A3" w:rsidRPr="000528C9" w:rsidRDefault="003748A3">
            <w:pPr>
              <w:rPr>
                <w:sz w:val="18"/>
                <w:szCs w:val="18"/>
              </w:rPr>
            </w:pPr>
          </w:p>
        </w:tc>
      </w:tr>
      <w:tr w:rsidR="004F7EF3" w:rsidRPr="000528C9" w14:paraId="39A1DA9D" w14:textId="77777777" w:rsidTr="0054062C">
        <w:tc>
          <w:tcPr>
            <w:tcW w:w="720" w:type="dxa"/>
            <w:tcBorders>
              <w:top w:val="single" w:sz="2" w:space="0" w:color="auto"/>
              <w:left w:val="single" w:sz="2" w:space="0" w:color="auto"/>
              <w:bottom w:val="single" w:sz="2" w:space="0" w:color="auto"/>
              <w:right w:val="single" w:sz="2" w:space="0" w:color="auto"/>
            </w:tcBorders>
          </w:tcPr>
          <w:p w14:paraId="320946C2" w14:textId="187EA36E" w:rsidR="004F7EF3" w:rsidRPr="000528C9" w:rsidRDefault="00013E22">
            <w:pPr>
              <w:rPr>
                <w:sz w:val="18"/>
                <w:szCs w:val="18"/>
              </w:rPr>
            </w:pPr>
            <w:r w:rsidRPr="000528C9">
              <w:rPr>
                <w:sz w:val="18"/>
                <w:szCs w:val="18"/>
              </w:rPr>
              <w:t>3</w:t>
            </w:r>
            <w:r w:rsidR="00BB060B">
              <w:rPr>
                <w:sz w:val="18"/>
                <w:szCs w:val="18"/>
              </w:rPr>
              <w:t>6</w:t>
            </w:r>
          </w:p>
        </w:tc>
        <w:tc>
          <w:tcPr>
            <w:tcW w:w="810" w:type="dxa"/>
            <w:tcBorders>
              <w:top w:val="single" w:sz="2" w:space="0" w:color="auto"/>
              <w:left w:val="single" w:sz="2" w:space="0" w:color="auto"/>
              <w:bottom w:val="single" w:sz="2" w:space="0" w:color="auto"/>
              <w:right w:val="single" w:sz="2" w:space="0" w:color="auto"/>
            </w:tcBorders>
          </w:tcPr>
          <w:p w14:paraId="28EC55AC"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D9F6F1F" w14:textId="77777777" w:rsidR="004F7EF3" w:rsidRPr="000528C9" w:rsidRDefault="004F7EF3" w:rsidP="00174379">
            <w:pPr>
              <w:rPr>
                <w:sz w:val="18"/>
                <w:szCs w:val="18"/>
              </w:rPr>
            </w:pPr>
            <w:r w:rsidRPr="000528C9">
              <w:rPr>
                <w:b/>
                <w:sz w:val="18"/>
                <w:szCs w:val="18"/>
              </w:rPr>
              <w:t>Aerosol paints and coatings</w:t>
            </w:r>
            <w:r w:rsidRPr="000528C9">
              <w:rPr>
                <w:sz w:val="18"/>
                <w:szCs w:val="18"/>
              </w:rPr>
              <w:t xml:space="preserve"> shall meet the req</w:t>
            </w:r>
            <w:r w:rsidR="003C2221" w:rsidRPr="000528C9">
              <w:rPr>
                <w:sz w:val="18"/>
                <w:szCs w:val="18"/>
              </w:rPr>
              <w:t>uirements of Sections 94522(a)(2), 94522(e)(1), and (f)(1</w:t>
            </w:r>
            <w:r w:rsidRPr="000528C9">
              <w:rPr>
                <w:sz w:val="18"/>
                <w:szCs w:val="18"/>
              </w:rPr>
              <w:t xml:space="preserve">) of California Code of Regulations, Title 17 commencing with Section 94520.  </w:t>
            </w:r>
            <w:r w:rsidR="00174379" w:rsidRPr="000528C9">
              <w:rPr>
                <w:sz w:val="18"/>
                <w:szCs w:val="18"/>
              </w:rPr>
              <w:t>[</w:t>
            </w:r>
            <w:r w:rsidRPr="000528C9">
              <w:rPr>
                <w:sz w:val="18"/>
                <w:szCs w:val="18"/>
              </w:rPr>
              <w:t>4.504.2.3</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38769E40" w14:textId="77777777" w:rsidR="004F7EF3" w:rsidRPr="000528C9" w:rsidRDefault="004F7EF3">
            <w:pPr>
              <w:rPr>
                <w:sz w:val="18"/>
                <w:szCs w:val="18"/>
              </w:rPr>
            </w:pPr>
          </w:p>
        </w:tc>
      </w:tr>
      <w:tr w:rsidR="004F7EF3" w:rsidRPr="000528C9" w14:paraId="07F7AAAF" w14:textId="77777777" w:rsidTr="0054062C">
        <w:tc>
          <w:tcPr>
            <w:tcW w:w="720" w:type="dxa"/>
            <w:tcBorders>
              <w:top w:val="single" w:sz="2" w:space="0" w:color="auto"/>
              <w:left w:val="single" w:sz="2" w:space="0" w:color="auto"/>
              <w:bottom w:val="single" w:sz="2" w:space="0" w:color="auto"/>
              <w:right w:val="single" w:sz="2" w:space="0" w:color="auto"/>
            </w:tcBorders>
          </w:tcPr>
          <w:p w14:paraId="114C78F4" w14:textId="24B98748" w:rsidR="004F7EF3" w:rsidRPr="000528C9" w:rsidRDefault="00D316C8" w:rsidP="003310DD">
            <w:pPr>
              <w:rPr>
                <w:sz w:val="18"/>
                <w:szCs w:val="18"/>
              </w:rPr>
            </w:pPr>
            <w:r w:rsidRPr="000528C9">
              <w:rPr>
                <w:sz w:val="18"/>
                <w:szCs w:val="18"/>
              </w:rPr>
              <w:t>3</w:t>
            </w:r>
            <w:r w:rsidR="00BB060B">
              <w:rPr>
                <w:sz w:val="18"/>
                <w:szCs w:val="18"/>
              </w:rPr>
              <w:t>7</w:t>
            </w:r>
          </w:p>
        </w:tc>
        <w:tc>
          <w:tcPr>
            <w:tcW w:w="810" w:type="dxa"/>
            <w:tcBorders>
              <w:top w:val="single" w:sz="2" w:space="0" w:color="auto"/>
              <w:left w:val="single" w:sz="2" w:space="0" w:color="auto"/>
              <w:bottom w:val="single" w:sz="2" w:space="0" w:color="auto"/>
              <w:right w:val="single" w:sz="2" w:space="0" w:color="auto"/>
            </w:tcBorders>
          </w:tcPr>
          <w:p w14:paraId="3DC8D9CB"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D582094" w14:textId="77777777" w:rsidR="004F7EF3" w:rsidRPr="000528C9" w:rsidRDefault="004F7EF3" w:rsidP="004F7EF3">
            <w:pPr>
              <w:widowControl w:val="0"/>
              <w:rPr>
                <w:sz w:val="18"/>
                <w:szCs w:val="18"/>
              </w:rPr>
            </w:pPr>
            <w:r w:rsidRPr="000528C9">
              <w:rPr>
                <w:b/>
                <w:sz w:val="18"/>
                <w:szCs w:val="18"/>
              </w:rPr>
              <w:t>Verification</w:t>
            </w:r>
            <w:r w:rsidRPr="000528C9">
              <w:rPr>
                <w:sz w:val="18"/>
                <w:szCs w:val="18"/>
              </w:rPr>
              <w:t xml:space="preserve"> of compliance with finish materials shall be provided at the request of the enforcing agency.  Documents may include, but not limited to the following</w:t>
            </w:r>
            <w:r w:rsidR="003C2221" w:rsidRPr="000528C9">
              <w:rPr>
                <w:sz w:val="18"/>
                <w:szCs w:val="18"/>
              </w:rPr>
              <w:t xml:space="preserve"> [4.504.2.</w:t>
            </w:r>
            <w:r w:rsidR="005F7191" w:rsidRPr="000528C9">
              <w:rPr>
                <w:sz w:val="18"/>
                <w:szCs w:val="18"/>
              </w:rPr>
              <w:t>4]</w:t>
            </w:r>
            <w:r w:rsidRPr="000528C9">
              <w:rPr>
                <w:sz w:val="18"/>
                <w:szCs w:val="18"/>
              </w:rPr>
              <w:t>:</w:t>
            </w:r>
          </w:p>
          <w:p w14:paraId="18E6B3D2" w14:textId="77777777" w:rsidR="004F7EF3" w:rsidRPr="000528C9" w:rsidRDefault="004F7EF3">
            <w:pPr>
              <w:pStyle w:val="ListParagraph"/>
              <w:widowControl w:val="0"/>
              <w:numPr>
                <w:ilvl w:val="0"/>
                <w:numId w:val="5"/>
              </w:numPr>
              <w:rPr>
                <w:sz w:val="18"/>
                <w:szCs w:val="18"/>
              </w:rPr>
            </w:pPr>
            <w:r w:rsidRPr="000528C9">
              <w:rPr>
                <w:sz w:val="18"/>
                <w:szCs w:val="18"/>
              </w:rPr>
              <w:t>Manufacturer’s product specification.</w:t>
            </w:r>
          </w:p>
          <w:p w14:paraId="658D41E6" w14:textId="77777777" w:rsidR="004F7EF3" w:rsidRPr="000528C9" w:rsidRDefault="004F7EF3">
            <w:pPr>
              <w:pStyle w:val="ListParagraph"/>
              <w:widowControl w:val="0"/>
              <w:numPr>
                <w:ilvl w:val="0"/>
                <w:numId w:val="5"/>
              </w:numPr>
              <w:rPr>
                <w:sz w:val="18"/>
                <w:szCs w:val="18"/>
              </w:rPr>
            </w:pPr>
            <w:r w:rsidRPr="000528C9">
              <w:rPr>
                <w:sz w:val="18"/>
                <w:szCs w:val="18"/>
              </w:rPr>
              <w:t>Field verificatio</w:t>
            </w:r>
            <w:r w:rsidR="00496ABC" w:rsidRPr="000528C9">
              <w:rPr>
                <w:sz w:val="18"/>
                <w:szCs w:val="18"/>
              </w:rPr>
              <w:t>n of on-site product containers.</w:t>
            </w:r>
          </w:p>
        </w:tc>
        <w:tc>
          <w:tcPr>
            <w:tcW w:w="1620" w:type="dxa"/>
            <w:tcBorders>
              <w:top w:val="single" w:sz="2" w:space="0" w:color="auto"/>
              <w:left w:val="single" w:sz="2" w:space="0" w:color="auto"/>
              <w:bottom w:val="single" w:sz="2" w:space="0" w:color="auto"/>
              <w:right w:val="single" w:sz="2" w:space="0" w:color="auto"/>
            </w:tcBorders>
          </w:tcPr>
          <w:p w14:paraId="772600C0" w14:textId="77777777" w:rsidR="004F7EF3" w:rsidRPr="000528C9" w:rsidRDefault="004F7EF3">
            <w:pPr>
              <w:rPr>
                <w:sz w:val="18"/>
                <w:szCs w:val="18"/>
              </w:rPr>
            </w:pPr>
          </w:p>
        </w:tc>
      </w:tr>
      <w:tr w:rsidR="004F7EF3" w:rsidRPr="000528C9" w14:paraId="5284A7C2" w14:textId="77777777" w:rsidTr="0054062C">
        <w:tc>
          <w:tcPr>
            <w:tcW w:w="720" w:type="dxa"/>
            <w:tcBorders>
              <w:top w:val="single" w:sz="2" w:space="0" w:color="auto"/>
              <w:left w:val="single" w:sz="2" w:space="0" w:color="auto"/>
              <w:bottom w:val="single" w:sz="2" w:space="0" w:color="auto"/>
              <w:right w:val="single" w:sz="2" w:space="0" w:color="auto"/>
            </w:tcBorders>
          </w:tcPr>
          <w:p w14:paraId="435BA276" w14:textId="1E19F188" w:rsidR="004F7EF3" w:rsidRPr="000528C9" w:rsidRDefault="00BB060B">
            <w:pPr>
              <w:rPr>
                <w:sz w:val="18"/>
                <w:szCs w:val="18"/>
              </w:rPr>
            </w:pPr>
            <w:r>
              <w:rPr>
                <w:sz w:val="18"/>
                <w:szCs w:val="18"/>
              </w:rPr>
              <w:t>38</w:t>
            </w:r>
          </w:p>
        </w:tc>
        <w:tc>
          <w:tcPr>
            <w:tcW w:w="810" w:type="dxa"/>
            <w:tcBorders>
              <w:top w:val="single" w:sz="2" w:space="0" w:color="auto"/>
              <w:left w:val="single" w:sz="2" w:space="0" w:color="auto"/>
              <w:bottom w:val="single" w:sz="2" w:space="0" w:color="auto"/>
              <w:right w:val="single" w:sz="2" w:space="0" w:color="auto"/>
            </w:tcBorders>
          </w:tcPr>
          <w:p w14:paraId="2D746D1F"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68B1973" w14:textId="77777777" w:rsidR="004F7EF3" w:rsidRPr="000528C9" w:rsidRDefault="004F7EF3" w:rsidP="00737042">
            <w:pPr>
              <w:rPr>
                <w:sz w:val="18"/>
                <w:szCs w:val="18"/>
              </w:rPr>
            </w:pPr>
            <w:r w:rsidRPr="000528C9">
              <w:rPr>
                <w:b/>
                <w:sz w:val="18"/>
                <w:szCs w:val="18"/>
              </w:rPr>
              <w:t>Carpet</w:t>
            </w:r>
            <w:r w:rsidR="00737042" w:rsidRPr="000528C9">
              <w:rPr>
                <w:b/>
                <w:sz w:val="18"/>
                <w:szCs w:val="18"/>
              </w:rPr>
              <w:t xml:space="preserve"> </w:t>
            </w:r>
            <w:r w:rsidR="00737042" w:rsidRPr="000528C9">
              <w:rPr>
                <w:sz w:val="18"/>
                <w:szCs w:val="18"/>
              </w:rPr>
              <w:t xml:space="preserve">and </w:t>
            </w:r>
            <w:r w:rsidR="00737042" w:rsidRPr="000528C9">
              <w:rPr>
                <w:b/>
                <w:sz w:val="18"/>
                <w:szCs w:val="18"/>
              </w:rPr>
              <w:t>Carpet cushion</w:t>
            </w:r>
            <w:r w:rsidR="00737042" w:rsidRPr="000528C9">
              <w:rPr>
                <w:sz w:val="18"/>
                <w:szCs w:val="18"/>
              </w:rPr>
              <w:t xml:space="preserve"> installed in the building interior </w:t>
            </w:r>
            <w:r w:rsidR="008420A9" w:rsidRPr="000528C9">
              <w:rPr>
                <w:sz w:val="18"/>
                <w:szCs w:val="18"/>
              </w:rPr>
              <w:t>shall meet the requirements of the</w:t>
            </w:r>
            <w:r w:rsidR="00A24FC1" w:rsidRPr="000528C9">
              <w:rPr>
                <w:sz w:val="18"/>
                <w:szCs w:val="18"/>
              </w:rPr>
              <w:t xml:space="preserve"> </w:t>
            </w:r>
            <w:r w:rsidRPr="000528C9">
              <w:rPr>
                <w:sz w:val="18"/>
                <w:szCs w:val="18"/>
              </w:rPr>
              <w:t>California Department of Public Health</w:t>
            </w:r>
            <w:r w:rsidR="00960BAC" w:rsidRPr="000528C9">
              <w:rPr>
                <w:sz w:val="18"/>
                <w:szCs w:val="18"/>
              </w:rPr>
              <w:t>,</w:t>
            </w:r>
            <w:r w:rsidRPr="000528C9">
              <w:rPr>
                <w:sz w:val="18"/>
                <w:szCs w:val="18"/>
              </w:rPr>
              <w:t xml:space="preserve"> </w:t>
            </w:r>
            <w:r w:rsidR="00960BAC" w:rsidRPr="000528C9">
              <w:rPr>
                <w:sz w:val="18"/>
                <w:szCs w:val="18"/>
              </w:rPr>
              <w:t>“</w:t>
            </w:r>
            <w:r w:rsidRPr="000528C9">
              <w:rPr>
                <w:sz w:val="18"/>
                <w:szCs w:val="18"/>
              </w:rPr>
              <w:t>Standard</w:t>
            </w:r>
            <w:r w:rsidR="00C43E00" w:rsidRPr="000528C9">
              <w:rPr>
                <w:sz w:val="18"/>
                <w:szCs w:val="18"/>
              </w:rPr>
              <w:t xml:space="preserve"> Method for the T</w:t>
            </w:r>
            <w:r w:rsidR="00960BAC" w:rsidRPr="000528C9">
              <w:rPr>
                <w:sz w:val="18"/>
                <w:szCs w:val="18"/>
              </w:rPr>
              <w:t xml:space="preserve">esting </w:t>
            </w:r>
            <w:r w:rsidR="00C43E00" w:rsidRPr="000528C9">
              <w:rPr>
                <w:sz w:val="18"/>
                <w:szCs w:val="18"/>
              </w:rPr>
              <w:t>and Evaluation of Volatile Organic Chemical Emissions from Indoor Sources Using Envi</w:t>
            </w:r>
            <w:r w:rsidR="00737042" w:rsidRPr="000528C9">
              <w:rPr>
                <w:sz w:val="18"/>
                <w:szCs w:val="18"/>
              </w:rPr>
              <w:t>ronmental Chambers,” Version 1.2, January 2017</w:t>
            </w:r>
            <w:r w:rsidR="00C43E00" w:rsidRPr="000528C9">
              <w:rPr>
                <w:sz w:val="18"/>
                <w:szCs w:val="18"/>
              </w:rPr>
              <w:t xml:space="preserve"> (also known as </w:t>
            </w:r>
            <w:r w:rsidR="00A24FC1" w:rsidRPr="000528C9">
              <w:rPr>
                <w:sz w:val="18"/>
                <w:szCs w:val="18"/>
              </w:rPr>
              <w:t>Specification 01350).</w:t>
            </w:r>
            <w:r w:rsidR="00174379" w:rsidRPr="000528C9">
              <w:rPr>
                <w:sz w:val="18"/>
                <w:szCs w:val="18"/>
              </w:rPr>
              <w:t xml:space="preserve"> </w:t>
            </w:r>
            <w:r w:rsidR="00737042" w:rsidRPr="000528C9">
              <w:rPr>
                <w:sz w:val="18"/>
                <w:szCs w:val="18"/>
              </w:rPr>
              <w:t>[4.504.3]</w:t>
            </w:r>
          </w:p>
          <w:p w14:paraId="78B3C25E" w14:textId="77777777" w:rsidR="00737042" w:rsidRDefault="00737042" w:rsidP="00737042">
            <w:pPr>
              <w:rPr>
                <w:sz w:val="18"/>
                <w:szCs w:val="18"/>
              </w:rPr>
            </w:pPr>
            <w:r w:rsidRPr="000528C9">
              <w:rPr>
                <w:b/>
                <w:sz w:val="18"/>
                <w:szCs w:val="18"/>
              </w:rPr>
              <w:t>Carpet adhesive</w:t>
            </w:r>
            <w:r w:rsidRPr="000528C9">
              <w:rPr>
                <w:sz w:val="18"/>
                <w:szCs w:val="18"/>
              </w:rPr>
              <w:t xml:space="preserve"> shall meet the requirements of Table 4.504.1 [4.504.3.2].</w:t>
            </w:r>
          </w:p>
          <w:p w14:paraId="015C2CCB" w14:textId="77777777" w:rsidR="009430D4" w:rsidRPr="000528C9" w:rsidRDefault="009430D4" w:rsidP="00737042">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482F1D52" w14:textId="77777777" w:rsidR="004F7EF3" w:rsidRPr="000528C9" w:rsidRDefault="004F7EF3">
            <w:pPr>
              <w:rPr>
                <w:sz w:val="18"/>
                <w:szCs w:val="18"/>
              </w:rPr>
            </w:pPr>
          </w:p>
        </w:tc>
      </w:tr>
      <w:tr w:rsidR="004F7EF3" w:rsidRPr="000528C9" w14:paraId="7B8DBC97" w14:textId="77777777" w:rsidTr="0054062C">
        <w:tc>
          <w:tcPr>
            <w:tcW w:w="720" w:type="dxa"/>
            <w:tcBorders>
              <w:top w:val="single" w:sz="2" w:space="0" w:color="auto"/>
              <w:left w:val="single" w:sz="2" w:space="0" w:color="auto"/>
              <w:bottom w:val="single" w:sz="2" w:space="0" w:color="auto"/>
              <w:right w:val="single" w:sz="2" w:space="0" w:color="auto"/>
            </w:tcBorders>
          </w:tcPr>
          <w:p w14:paraId="4624A208" w14:textId="27D7BB99" w:rsidR="004F7EF3" w:rsidRPr="000528C9" w:rsidRDefault="00BB060B">
            <w:pPr>
              <w:rPr>
                <w:sz w:val="18"/>
                <w:szCs w:val="18"/>
              </w:rPr>
            </w:pPr>
            <w:r>
              <w:rPr>
                <w:sz w:val="18"/>
                <w:szCs w:val="18"/>
              </w:rPr>
              <w:t>39</w:t>
            </w:r>
          </w:p>
        </w:tc>
        <w:tc>
          <w:tcPr>
            <w:tcW w:w="810" w:type="dxa"/>
            <w:tcBorders>
              <w:top w:val="single" w:sz="2" w:space="0" w:color="auto"/>
              <w:left w:val="single" w:sz="2" w:space="0" w:color="auto"/>
              <w:bottom w:val="single" w:sz="2" w:space="0" w:color="auto"/>
              <w:right w:val="single" w:sz="2" w:space="0" w:color="auto"/>
            </w:tcBorders>
          </w:tcPr>
          <w:p w14:paraId="0668DD9C"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E906CB0" w14:textId="77777777" w:rsidR="004F7EF3" w:rsidRDefault="00751696" w:rsidP="00737042">
            <w:pPr>
              <w:rPr>
                <w:sz w:val="18"/>
                <w:szCs w:val="18"/>
              </w:rPr>
            </w:pPr>
            <w:r w:rsidRPr="000528C9">
              <w:rPr>
                <w:sz w:val="18"/>
                <w:szCs w:val="18"/>
              </w:rPr>
              <w:t xml:space="preserve">Where </w:t>
            </w:r>
            <w:r w:rsidRPr="000528C9">
              <w:rPr>
                <w:b/>
                <w:sz w:val="18"/>
                <w:szCs w:val="18"/>
              </w:rPr>
              <w:t>resilient flooring</w:t>
            </w:r>
            <w:r w:rsidR="005F7191" w:rsidRPr="000528C9">
              <w:rPr>
                <w:sz w:val="18"/>
                <w:szCs w:val="18"/>
              </w:rPr>
              <w:t xml:space="preserve"> is installed, at least 8</w:t>
            </w:r>
            <w:r w:rsidRPr="000528C9">
              <w:rPr>
                <w:sz w:val="18"/>
                <w:szCs w:val="18"/>
              </w:rPr>
              <w:t>0% of floor area receiving resilient flooring sha</w:t>
            </w:r>
            <w:r w:rsidR="00737042" w:rsidRPr="000528C9">
              <w:rPr>
                <w:sz w:val="18"/>
                <w:szCs w:val="18"/>
              </w:rPr>
              <w:t>ll</w:t>
            </w:r>
            <w:r w:rsidR="005F7191" w:rsidRPr="000528C9">
              <w:rPr>
                <w:sz w:val="18"/>
                <w:szCs w:val="18"/>
              </w:rPr>
              <w:t xml:space="preserve"> </w:t>
            </w:r>
            <w:r w:rsidR="00737042" w:rsidRPr="000528C9">
              <w:rPr>
                <w:sz w:val="18"/>
                <w:szCs w:val="18"/>
              </w:rPr>
              <w:t>meet the requirements of the California Department of Public Health, “Standard Method for the Testing and Evaluation of Volatile Organic Chemical Emissions from Indoor Sources Using Environmental Chambers,” Version 1.2, January 2017 (also known as Specification 01350). [4.504.3]</w:t>
            </w:r>
          </w:p>
          <w:p w14:paraId="000A4ED7" w14:textId="77777777" w:rsidR="009430D4" w:rsidRPr="000528C9" w:rsidRDefault="009430D4" w:rsidP="00737042">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267F452E" w14:textId="77777777" w:rsidR="004F7EF3" w:rsidRPr="000528C9" w:rsidRDefault="004F7EF3">
            <w:pPr>
              <w:rPr>
                <w:sz w:val="18"/>
                <w:szCs w:val="18"/>
              </w:rPr>
            </w:pPr>
          </w:p>
        </w:tc>
      </w:tr>
      <w:tr w:rsidR="004F7EF3" w:rsidRPr="000528C9" w14:paraId="6F7BF491" w14:textId="77777777" w:rsidTr="0054062C">
        <w:tc>
          <w:tcPr>
            <w:tcW w:w="720" w:type="dxa"/>
            <w:tcBorders>
              <w:top w:val="single" w:sz="2" w:space="0" w:color="auto"/>
              <w:left w:val="single" w:sz="2" w:space="0" w:color="auto"/>
              <w:bottom w:val="single" w:sz="2" w:space="0" w:color="auto"/>
              <w:right w:val="single" w:sz="2" w:space="0" w:color="auto"/>
            </w:tcBorders>
          </w:tcPr>
          <w:p w14:paraId="0788F441" w14:textId="55DB4427" w:rsidR="004F7EF3" w:rsidRPr="000528C9" w:rsidRDefault="00B930C5">
            <w:pPr>
              <w:rPr>
                <w:sz w:val="18"/>
                <w:szCs w:val="18"/>
              </w:rPr>
            </w:pPr>
            <w:r w:rsidRPr="000528C9">
              <w:rPr>
                <w:sz w:val="18"/>
                <w:szCs w:val="18"/>
              </w:rPr>
              <w:t>4</w:t>
            </w:r>
            <w:r w:rsidR="00BB060B">
              <w:rPr>
                <w:sz w:val="18"/>
                <w:szCs w:val="18"/>
              </w:rPr>
              <w:t>0</w:t>
            </w:r>
          </w:p>
        </w:tc>
        <w:tc>
          <w:tcPr>
            <w:tcW w:w="810" w:type="dxa"/>
            <w:tcBorders>
              <w:top w:val="single" w:sz="2" w:space="0" w:color="auto"/>
              <w:left w:val="single" w:sz="2" w:space="0" w:color="auto"/>
              <w:bottom w:val="single" w:sz="2" w:space="0" w:color="auto"/>
              <w:right w:val="single" w:sz="2" w:space="0" w:color="auto"/>
            </w:tcBorders>
          </w:tcPr>
          <w:p w14:paraId="2C0F1DC8"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5AF65606" w14:textId="65B09775" w:rsidR="004F7EF3" w:rsidRPr="000528C9" w:rsidRDefault="001E0D97" w:rsidP="001E0D97">
            <w:pPr>
              <w:rPr>
                <w:sz w:val="18"/>
                <w:szCs w:val="18"/>
              </w:rPr>
            </w:pPr>
            <w:r w:rsidRPr="000528C9">
              <w:rPr>
                <w:b/>
                <w:sz w:val="18"/>
                <w:szCs w:val="18"/>
              </w:rPr>
              <w:t>Composite wood products</w:t>
            </w:r>
            <w:r w:rsidRPr="000528C9">
              <w:rPr>
                <w:sz w:val="18"/>
                <w:szCs w:val="18"/>
              </w:rPr>
              <w:t xml:space="preserve"> (h</w:t>
            </w:r>
            <w:r w:rsidR="004F7EF3" w:rsidRPr="000528C9">
              <w:rPr>
                <w:sz w:val="18"/>
                <w:szCs w:val="18"/>
              </w:rPr>
              <w:t>ardwood plywood, particleboard, and medium density fiberboard</w:t>
            </w:r>
            <w:r w:rsidR="00044CC4">
              <w:rPr>
                <w:sz w:val="18"/>
                <w:szCs w:val="18"/>
              </w:rPr>
              <w:t xml:space="preserve"> composite wood products</w:t>
            </w:r>
            <w:r w:rsidRPr="000528C9">
              <w:rPr>
                <w:sz w:val="18"/>
                <w:szCs w:val="18"/>
              </w:rPr>
              <w:t>)</w:t>
            </w:r>
            <w:r w:rsidR="004F7EF3" w:rsidRPr="000528C9">
              <w:rPr>
                <w:b/>
                <w:sz w:val="18"/>
                <w:szCs w:val="18"/>
              </w:rPr>
              <w:t xml:space="preserve"> </w:t>
            </w:r>
            <w:r w:rsidR="00044CC4" w:rsidRPr="00044CC4">
              <w:rPr>
                <w:bCs/>
                <w:sz w:val="18"/>
                <w:szCs w:val="18"/>
              </w:rPr>
              <w:t>use on the interior and exterior</w:t>
            </w:r>
            <w:r w:rsidR="00044CC4">
              <w:rPr>
                <w:b/>
                <w:sz w:val="18"/>
                <w:szCs w:val="18"/>
              </w:rPr>
              <w:t xml:space="preserve"> </w:t>
            </w:r>
            <w:r w:rsidR="00044CC4">
              <w:rPr>
                <w:sz w:val="18"/>
                <w:szCs w:val="18"/>
              </w:rPr>
              <w:t xml:space="preserve">of the building </w:t>
            </w:r>
            <w:r w:rsidR="004F7EF3" w:rsidRPr="000528C9">
              <w:rPr>
                <w:sz w:val="18"/>
                <w:szCs w:val="18"/>
              </w:rPr>
              <w:t>shall meet the requirements for Formalde</w:t>
            </w:r>
            <w:r w:rsidR="00174379" w:rsidRPr="000528C9">
              <w:rPr>
                <w:sz w:val="18"/>
                <w:szCs w:val="18"/>
              </w:rPr>
              <w:t>hyde Limits in Table 4.504.5.  [</w:t>
            </w:r>
            <w:r w:rsidR="004F7EF3" w:rsidRPr="000528C9">
              <w:rPr>
                <w:sz w:val="18"/>
                <w:szCs w:val="18"/>
              </w:rPr>
              <w:t>4.504.5</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374F1240" w14:textId="77777777" w:rsidR="004F7EF3" w:rsidRPr="000528C9" w:rsidRDefault="004F7EF3">
            <w:pPr>
              <w:rPr>
                <w:sz w:val="18"/>
                <w:szCs w:val="18"/>
              </w:rPr>
            </w:pPr>
          </w:p>
        </w:tc>
      </w:tr>
      <w:tr w:rsidR="004F7EF3" w:rsidRPr="000528C9" w14:paraId="21CC9A2B" w14:textId="77777777" w:rsidTr="0054062C">
        <w:tc>
          <w:tcPr>
            <w:tcW w:w="720" w:type="dxa"/>
            <w:tcBorders>
              <w:top w:val="single" w:sz="2" w:space="0" w:color="auto"/>
              <w:left w:val="single" w:sz="2" w:space="0" w:color="auto"/>
              <w:bottom w:val="single" w:sz="2" w:space="0" w:color="auto"/>
              <w:right w:val="single" w:sz="2" w:space="0" w:color="auto"/>
            </w:tcBorders>
          </w:tcPr>
          <w:p w14:paraId="01625E48" w14:textId="3D32F150" w:rsidR="004F7EF3" w:rsidRPr="000528C9" w:rsidRDefault="00B930C5">
            <w:pPr>
              <w:rPr>
                <w:sz w:val="18"/>
                <w:szCs w:val="18"/>
              </w:rPr>
            </w:pPr>
            <w:r w:rsidRPr="000528C9">
              <w:rPr>
                <w:sz w:val="18"/>
                <w:szCs w:val="18"/>
              </w:rPr>
              <w:t>4</w:t>
            </w:r>
            <w:r w:rsidR="00BB060B">
              <w:rPr>
                <w:sz w:val="18"/>
                <w:szCs w:val="18"/>
              </w:rPr>
              <w:t>1</w:t>
            </w:r>
          </w:p>
        </w:tc>
        <w:tc>
          <w:tcPr>
            <w:tcW w:w="810" w:type="dxa"/>
            <w:tcBorders>
              <w:top w:val="single" w:sz="2" w:space="0" w:color="auto"/>
              <w:left w:val="single" w:sz="2" w:space="0" w:color="auto"/>
              <w:bottom w:val="single" w:sz="2" w:space="0" w:color="auto"/>
              <w:right w:val="single" w:sz="2" w:space="0" w:color="auto"/>
            </w:tcBorders>
          </w:tcPr>
          <w:p w14:paraId="35C7B085"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8CBB948" w14:textId="77777777" w:rsidR="000731F0" w:rsidRPr="000528C9" w:rsidRDefault="000731F0" w:rsidP="000731F0">
            <w:pPr>
              <w:rPr>
                <w:sz w:val="18"/>
                <w:szCs w:val="18"/>
              </w:rPr>
            </w:pPr>
            <w:r w:rsidRPr="000528C9">
              <w:rPr>
                <w:sz w:val="18"/>
                <w:szCs w:val="18"/>
              </w:rPr>
              <w:t xml:space="preserve">Verification of </w:t>
            </w:r>
            <w:r w:rsidR="005B0FE2" w:rsidRPr="000528C9">
              <w:rPr>
                <w:sz w:val="18"/>
                <w:szCs w:val="18"/>
              </w:rPr>
              <w:t>compliance with Section 4.504.5.1</w:t>
            </w:r>
            <w:r w:rsidRPr="000528C9">
              <w:rPr>
                <w:sz w:val="18"/>
                <w:szCs w:val="18"/>
              </w:rPr>
              <w:t xml:space="preserve"> shall be provided at the request of the enforcing agency.  Documentation shall include at least one of the foll</w:t>
            </w:r>
            <w:r w:rsidR="005B0FE2" w:rsidRPr="000528C9">
              <w:rPr>
                <w:sz w:val="18"/>
                <w:szCs w:val="18"/>
              </w:rPr>
              <w:t>owing:</w:t>
            </w:r>
          </w:p>
          <w:p w14:paraId="4A8FD1BA" w14:textId="77777777" w:rsidR="000731F0" w:rsidRPr="000528C9" w:rsidRDefault="005B0FE2">
            <w:pPr>
              <w:pStyle w:val="ListParagraph"/>
              <w:numPr>
                <w:ilvl w:val="0"/>
                <w:numId w:val="8"/>
              </w:numPr>
              <w:rPr>
                <w:sz w:val="18"/>
                <w:szCs w:val="18"/>
              </w:rPr>
            </w:pPr>
            <w:r w:rsidRPr="000528C9">
              <w:rPr>
                <w:sz w:val="18"/>
                <w:szCs w:val="18"/>
              </w:rPr>
              <w:t>P</w:t>
            </w:r>
            <w:r w:rsidR="000731F0" w:rsidRPr="000528C9">
              <w:rPr>
                <w:sz w:val="18"/>
                <w:szCs w:val="18"/>
              </w:rPr>
              <w:t>roduct</w:t>
            </w:r>
            <w:r w:rsidRPr="000528C9">
              <w:rPr>
                <w:sz w:val="18"/>
                <w:szCs w:val="18"/>
              </w:rPr>
              <w:t xml:space="preserve"> certifications and</w:t>
            </w:r>
            <w:r w:rsidR="000731F0" w:rsidRPr="000528C9">
              <w:rPr>
                <w:sz w:val="18"/>
                <w:szCs w:val="18"/>
              </w:rPr>
              <w:t xml:space="preserve"> specification</w:t>
            </w:r>
            <w:r w:rsidRPr="000528C9">
              <w:rPr>
                <w:sz w:val="18"/>
                <w:szCs w:val="18"/>
              </w:rPr>
              <w:t>s</w:t>
            </w:r>
            <w:r w:rsidR="000731F0" w:rsidRPr="000528C9">
              <w:rPr>
                <w:sz w:val="18"/>
                <w:szCs w:val="18"/>
              </w:rPr>
              <w:t>.</w:t>
            </w:r>
          </w:p>
          <w:p w14:paraId="0A6DACDB" w14:textId="77777777" w:rsidR="004F7EF3" w:rsidRPr="000528C9" w:rsidRDefault="005B0FE2">
            <w:pPr>
              <w:pStyle w:val="ListParagraph"/>
              <w:numPr>
                <w:ilvl w:val="0"/>
                <w:numId w:val="8"/>
              </w:numPr>
              <w:rPr>
                <w:sz w:val="18"/>
                <w:szCs w:val="18"/>
              </w:rPr>
            </w:pPr>
            <w:r w:rsidRPr="000528C9">
              <w:rPr>
                <w:sz w:val="18"/>
                <w:szCs w:val="18"/>
              </w:rPr>
              <w:t>Chain of custody certifications.</w:t>
            </w:r>
          </w:p>
          <w:p w14:paraId="2C8D10B2" w14:textId="77777777" w:rsidR="005B0FE2" w:rsidRPr="000528C9" w:rsidRDefault="005B0FE2">
            <w:pPr>
              <w:pStyle w:val="ListParagraph"/>
              <w:numPr>
                <w:ilvl w:val="0"/>
                <w:numId w:val="8"/>
              </w:numPr>
              <w:rPr>
                <w:sz w:val="18"/>
                <w:szCs w:val="18"/>
              </w:rPr>
            </w:pPr>
            <w:r w:rsidRPr="000528C9">
              <w:rPr>
                <w:sz w:val="18"/>
                <w:szCs w:val="18"/>
              </w:rPr>
              <w:t xml:space="preserve">Products labeled and invoiced as meeting the Composite Wood products regulation (see CCR, Title 17, Section 93120, </w:t>
            </w:r>
            <w:r w:rsidRPr="000528C9">
              <w:rPr>
                <w:i/>
                <w:sz w:val="18"/>
                <w:szCs w:val="18"/>
              </w:rPr>
              <w:t>et seq</w:t>
            </w:r>
            <w:r w:rsidRPr="000528C9">
              <w:rPr>
                <w:sz w:val="18"/>
                <w:szCs w:val="18"/>
              </w:rPr>
              <w:t>.)</w:t>
            </w:r>
          </w:p>
          <w:p w14:paraId="3AC64CEA" w14:textId="77777777" w:rsidR="005B0FE2" w:rsidRPr="000528C9" w:rsidRDefault="005B0FE2">
            <w:pPr>
              <w:pStyle w:val="ListParagraph"/>
              <w:numPr>
                <w:ilvl w:val="0"/>
                <w:numId w:val="8"/>
              </w:numPr>
              <w:rPr>
                <w:sz w:val="18"/>
                <w:szCs w:val="18"/>
              </w:rPr>
            </w:pPr>
            <w:r w:rsidRPr="000528C9">
              <w:rPr>
                <w:sz w:val="18"/>
                <w:szCs w:val="18"/>
              </w:rPr>
              <w:t xml:space="preserve">Exterior grade products marked as meeting the PS-1 or PS-2 standards of the Engineered Wood Association, the Australian AS/NZS 2269 or European 6363S </w:t>
            </w:r>
            <w:r w:rsidRPr="000528C9">
              <w:rPr>
                <w:sz w:val="18"/>
                <w:szCs w:val="18"/>
              </w:rPr>
              <w:lastRenderedPageBreak/>
              <w:t>standards</w:t>
            </w:r>
            <w:r w:rsidR="003C2221" w:rsidRPr="000528C9">
              <w:rPr>
                <w:sz w:val="18"/>
                <w:szCs w:val="18"/>
              </w:rPr>
              <w:t>, and Canadian CSA O121, CSA O151, CSA O153 and CSA O</w:t>
            </w:r>
            <w:r w:rsidR="009531B8" w:rsidRPr="000528C9">
              <w:rPr>
                <w:sz w:val="18"/>
                <w:szCs w:val="18"/>
              </w:rPr>
              <w:t>325 standards</w:t>
            </w:r>
            <w:r w:rsidRPr="000528C9">
              <w:rPr>
                <w:sz w:val="18"/>
                <w:szCs w:val="18"/>
              </w:rPr>
              <w:t xml:space="preserve">. </w:t>
            </w:r>
          </w:p>
          <w:p w14:paraId="0C4958C1" w14:textId="77777777" w:rsidR="005B0FE2" w:rsidRDefault="005B0FE2">
            <w:pPr>
              <w:pStyle w:val="ListParagraph"/>
              <w:numPr>
                <w:ilvl w:val="0"/>
                <w:numId w:val="8"/>
              </w:numPr>
              <w:rPr>
                <w:sz w:val="18"/>
                <w:szCs w:val="18"/>
              </w:rPr>
            </w:pPr>
            <w:r w:rsidRPr="000528C9">
              <w:rPr>
                <w:sz w:val="18"/>
                <w:szCs w:val="18"/>
              </w:rPr>
              <w:t xml:space="preserve">Other methods acceptable to the enforcing agency. </w:t>
            </w:r>
          </w:p>
          <w:p w14:paraId="64817516" w14:textId="77777777" w:rsidR="009430D4" w:rsidRPr="000528C9" w:rsidRDefault="009430D4">
            <w:pPr>
              <w:pStyle w:val="ListParagraph"/>
              <w:numPr>
                <w:ilvl w:val="0"/>
                <w:numId w:val="8"/>
              </w:num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5575C327" w14:textId="77777777" w:rsidR="004F7EF3" w:rsidRPr="000528C9" w:rsidRDefault="004F7EF3">
            <w:pPr>
              <w:rPr>
                <w:sz w:val="18"/>
                <w:szCs w:val="18"/>
              </w:rPr>
            </w:pPr>
          </w:p>
        </w:tc>
      </w:tr>
      <w:tr w:rsidR="004F7EF3" w:rsidRPr="000528C9" w14:paraId="6E122E62" w14:textId="77777777" w:rsidTr="0054062C">
        <w:tc>
          <w:tcPr>
            <w:tcW w:w="720" w:type="dxa"/>
            <w:tcBorders>
              <w:top w:val="single" w:sz="2" w:space="0" w:color="auto"/>
              <w:left w:val="single" w:sz="2" w:space="0" w:color="auto"/>
              <w:bottom w:val="single" w:sz="2" w:space="0" w:color="auto"/>
              <w:right w:val="single" w:sz="2" w:space="0" w:color="auto"/>
            </w:tcBorders>
          </w:tcPr>
          <w:p w14:paraId="414325C8" w14:textId="1B4CE1F0" w:rsidR="004F7EF3" w:rsidRPr="000528C9" w:rsidRDefault="003310DD">
            <w:pPr>
              <w:rPr>
                <w:sz w:val="18"/>
                <w:szCs w:val="18"/>
              </w:rPr>
            </w:pPr>
            <w:r w:rsidRPr="000528C9">
              <w:rPr>
                <w:sz w:val="18"/>
                <w:szCs w:val="18"/>
              </w:rPr>
              <w:t>4</w:t>
            </w:r>
            <w:r w:rsidR="00BB060B">
              <w:rPr>
                <w:sz w:val="18"/>
                <w:szCs w:val="18"/>
              </w:rPr>
              <w:t>2</w:t>
            </w:r>
          </w:p>
        </w:tc>
        <w:tc>
          <w:tcPr>
            <w:tcW w:w="810" w:type="dxa"/>
            <w:tcBorders>
              <w:top w:val="single" w:sz="2" w:space="0" w:color="auto"/>
              <w:left w:val="single" w:sz="2" w:space="0" w:color="auto"/>
              <w:bottom w:val="single" w:sz="2" w:space="0" w:color="auto"/>
              <w:right w:val="single" w:sz="2" w:space="0" w:color="auto"/>
            </w:tcBorders>
          </w:tcPr>
          <w:p w14:paraId="480D5268"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21F3713" w14:textId="77777777" w:rsidR="004F7EF3" w:rsidRPr="000528C9" w:rsidRDefault="004F7EF3">
            <w:pPr>
              <w:rPr>
                <w:sz w:val="18"/>
                <w:szCs w:val="18"/>
              </w:rPr>
            </w:pPr>
            <w:r w:rsidRPr="000528C9">
              <w:rPr>
                <w:b/>
                <w:sz w:val="18"/>
                <w:szCs w:val="18"/>
              </w:rPr>
              <w:t>Concrete slab</w:t>
            </w:r>
            <w:r w:rsidRPr="000528C9">
              <w:rPr>
                <w:sz w:val="18"/>
                <w:szCs w:val="18"/>
              </w:rPr>
              <w:t xml:space="preserve"> </w:t>
            </w:r>
            <w:r w:rsidRPr="000528C9">
              <w:rPr>
                <w:b/>
                <w:sz w:val="18"/>
                <w:szCs w:val="18"/>
              </w:rPr>
              <w:t>foundations</w:t>
            </w:r>
            <w:r w:rsidRPr="000528C9">
              <w:rPr>
                <w:sz w:val="18"/>
                <w:szCs w:val="18"/>
              </w:rPr>
              <w:t xml:space="preserve"> </w:t>
            </w:r>
            <w:r w:rsidR="00497B70" w:rsidRPr="000528C9">
              <w:rPr>
                <w:sz w:val="18"/>
                <w:szCs w:val="18"/>
              </w:rPr>
              <w:t xml:space="preserve">or concrete slab-on-ground floors </w:t>
            </w:r>
            <w:r w:rsidRPr="000528C9">
              <w:rPr>
                <w:sz w:val="18"/>
                <w:szCs w:val="18"/>
              </w:rPr>
              <w:t>required to have a vapor retard</w:t>
            </w:r>
            <w:r w:rsidR="00497B70" w:rsidRPr="000528C9">
              <w:rPr>
                <w:sz w:val="18"/>
                <w:szCs w:val="18"/>
              </w:rPr>
              <w:t>er by CBC chapter 19</w:t>
            </w:r>
            <w:r w:rsidRPr="000528C9">
              <w:rPr>
                <w:sz w:val="18"/>
                <w:szCs w:val="18"/>
              </w:rPr>
              <w:t xml:space="preserve"> </w:t>
            </w:r>
            <w:r w:rsidR="00497B70" w:rsidRPr="000528C9">
              <w:rPr>
                <w:sz w:val="18"/>
                <w:szCs w:val="18"/>
              </w:rPr>
              <w:t xml:space="preserve">or CRC chapter 5 </w:t>
            </w:r>
            <w:r w:rsidRPr="000528C9">
              <w:rPr>
                <w:sz w:val="18"/>
                <w:szCs w:val="18"/>
              </w:rPr>
              <w:t>shall also comply with this section.  Provide a Capillary Break installed in compliance with one of the following</w:t>
            </w:r>
            <w:r w:rsidR="00317B5A" w:rsidRPr="000528C9">
              <w:rPr>
                <w:sz w:val="18"/>
                <w:szCs w:val="18"/>
              </w:rPr>
              <w:t xml:space="preserve"> [4.505.2.1]</w:t>
            </w:r>
            <w:r w:rsidRPr="000528C9">
              <w:rPr>
                <w:sz w:val="18"/>
                <w:szCs w:val="18"/>
              </w:rPr>
              <w:t>:</w:t>
            </w:r>
          </w:p>
          <w:p w14:paraId="42909ED5" w14:textId="77777777" w:rsidR="004F7EF3" w:rsidRPr="000528C9" w:rsidRDefault="004F7EF3">
            <w:pPr>
              <w:pStyle w:val="ListParagraph"/>
              <w:widowControl w:val="0"/>
              <w:numPr>
                <w:ilvl w:val="1"/>
                <w:numId w:val="6"/>
              </w:numPr>
              <w:ind w:left="702"/>
              <w:rPr>
                <w:sz w:val="18"/>
                <w:szCs w:val="18"/>
              </w:rPr>
            </w:pPr>
            <w:r w:rsidRPr="000528C9">
              <w:rPr>
                <w:sz w:val="18"/>
                <w:szCs w:val="18"/>
              </w:rPr>
              <w:t>A 4-inch thick base of 1/2-inch or larger clean aggregate, with a vapor barrier in direct contact with concrete, and a concrete mix design which will address bleeding, shrinkage, and curling.</w:t>
            </w:r>
            <w:r w:rsidR="00317B5A" w:rsidRPr="000528C9">
              <w:rPr>
                <w:sz w:val="18"/>
                <w:szCs w:val="18"/>
              </w:rPr>
              <w:t xml:space="preserve"> Reference ACI 302.2R-06.</w:t>
            </w:r>
          </w:p>
          <w:p w14:paraId="412A1D6E" w14:textId="77777777" w:rsidR="004F7EF3" w:rsidRPr="000528C9" w:rsidRDefault="004F7EF3">
            <w:pPr>
              <w:pStyle w:val="ListParagraph"/>
              <w:widowControl w:val="0"/>
              <w:numPr>
                <w:ilvl w:val="1"/>
                <w:numId w:val="6"/>
              </w:numPr>
              <w:ind w:left="702"/>
              <w:rPr>
                <w:sz w:val="18"/>
                <w:szCs w:val="18"/>
              </w:rPr>
            </w:pPr>
            <w:r w:rsidRPr="000528C9">
              <w:rPr>
                <w:sz w:val="18"/>
                <w:szCs w:val="18"/>
              </w:rPr>
              <w:t>Other equivalent methods approved by the enforcing agency.</w:t>
            </w:r>
          </w:p>
          <w:p w14:paraId="1CDCF156" w14:textId="77777777" w:rsidR="004F7EF3" w:rsidRDefault="004F7EF3">
            <w:pPr>
              <w:pStyle w:val="ListParagraph"/>
              <w:widowControl w:val="0"/>
              <w:numPr>
                <w:ilvl w:val="1"/>
                <w:numId w:val="6"/>
              </w:numPr>
              <w:ind w:left="702"/>
              <w:rPr>
                <w:sz w:val="18"/>
                <w:szCs w:val="18"/>
              </w:rPr>
            </w:pPr>
            <w:r w:rsidRPr="000528C9">
              <w:rPr>
                <w:sz w:val="18"/>
                <w:szCs w:val="18"/>
              </w:rPr>
              <w:t>A slab design specified by a licensed d</w:t>
            </w:r>
            <w:r w:rsidR="00174379" w:rsidRPr="000528C9">
              <w:rPr>
                <w:sz w:val="18"/>
                <w:szCs w:val="18"/>
              </w:rPr>
              <w:t xml:space="preserve">esign professional.  </w:t>
            </w:r>
          </w:p>
          <w:p w14:paraId="07B7ECD1" w14:textId="77777777" w:rsidR="009430D4" w:rsidRPr="000528C9" w:rsidRDefault="009430D4" w:rsidP="009430D4">
            <w:pPr>
              <w:pStyle w:val="ListParagraph"/>
              <w:widowControl w:val="0"/>
              <w:ind w:left="702"/>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3604B7F6" w14:textId="77777777" w:rsidR="004F7EF3" w:rsidRPr="000528C9" w:rsidRDefault="004F7EF3">
            <w:pPr>
              <w:rPr>
                <w:sz w:val="18"/>
                <w:szCs w:val="18"/>
              </w:rPr>
            </w:pPr>
          </w:p>
        </w:tc>
      </w:tr>
      <w:tr w:rsidR="004F7EF3" w:rsidRPr="000528C9" w14:paraId="4D06580B" w14:textId="77777777" w:rsidTr="0054062C">
        <w:tc>
          <w:tcPr>
            <w:tcW w:w="720" w:type="dxa"/>
            <w:tcBorders>
              <w:top w:val="single" w:sz="2" w:space="0" w:color="auto"/>
              <w:left w:val="single" w:sz="2" w:space="0" w:color="auto"/>
              <w:bottom w:val="single" w:sz="2" w:space="0" w:color="auto"/>
              <w:right w:val="single" w:sz="2" w:space="0" w:color="auto"/>
            </w:tcBorders>
          </w:tcPr>
          <w:p w14:paraId="4A8A5385" w14:textId="463BEE69" w:rsidR="004F7EF3" w:rsidRPr="000528C9" w:rsidRDefault="0068799E">
            <w:pPr>
              <w:rPr>
                <w:sz w:val="18"/>
                <w:szCs w:val="18"/>
              </w:rPr>
            </w:pPr>
            <w:r w:rsidRPr="000528C9">
              <w:rPr>
                <w:sz w:val="18"/>
                <w:szCs w:val="18"/>
              </w:rPr>
              <w:t>4</w:t>
            </w:r>
            <w:r w:rsidR="00BB060B">
              <w:rPr>
                <w:sz w:val="18"/>
                <w:szCs w:val="18"/>
              </w:rPr>
              <w:t>3</w:t>
            </w:r>
          </w:p>
        </w:tc>
        <w:tc>
          <w:tcPr>
            <w:tcW w:w="810" w:type="dxa"/>
            <w:tcBorders>
              <w:top w:val="single" w:sz="2" w:space="0" w:color="auto"/>
              <w:left w:val="single" w:sz="2" w:space="0" w:color="auto"/>
              <w:bottom w:val="single" w:sz="2" w:space="0" w:color="auto"/>
              <w:right w:val="single" w:sz="2" w:space="0" w:color="auto"/>
            </w:tcBorders>
          </w:tcPr>
          <w:p w14:paraId="37B30124"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93F842A" w14:textId="1C975F18" w:rsidR="004F7EF3" w:rsidRPr="000528C9" w:rsidRDefault="004F7EF3" w:rsidP="007A4DA3">
            <w:pPr>
              <w:rPr>
                <w:sz w:val="18"/>
                <w:szCs w:val="18"/>
              </w:rPr>
            </w:pPr>
            <w:r w:rsidRPr="000528C9">
              <w:rPr>
                <w:sz w:val="18"/>
                <w:szCs w:val="18"/>
              </w:rPr>
              <w:t>Add note to plans the building materials with visible signs of water d</w:t>
            </w:r>
            <w:r w:rsidR="00174379" w:rsidRPr="000528C9">
              <w:rPr>
                <w:sz w:val="18"/>
                <w:szCs w:val="18"/>
              </w:rPr>
              <w:t xml:space="preserve">amage shall not be installed.  </w:t>
            </w:r>
            <w:r w:rsidR="007A4DA3" w:rsidRPr="000528C9">
              <w:rPr>
                <w:sz w:val="18"/>
                <w:szCs w:val="18"/>
              </w:rPr>
              <w:t>Wall and floor framing shall not be enclosed when the framing members exceed 19% moisture content. [</w:t>
            </w:r>
            <w:r w:rsidRPr="000528C9">
              <w:rPr>
                <w:sz w:val="18"/>
                <w:szCs w:val="18"/>
              </w:rPr>
              <w:t>4.505.3</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44BE210A" w14:textId="77777777" w:rsidR="004F7EF3" w:rsidRPr="000528C9" w:rsidRDefault="004F7EF3">
            <w:pPr>
              <w:rPr>
                <w:sz w:val="18"/>
                <w:szCs w:val="18"/>
              </w:rPr>
            </w:pPr>
          </w:p>
        </w:tc>
      </w:tr>
      <w:tr w:rsidR="004F7EF3" w:rsidRPr="000528C9" w14:paraId="435C5C10" w14:textId="77777777" w:rsidTr="0054062C">
        <w:tc>
          <w:tcPr>
            <w:tcW w:w="720" w:type="dxa"/>
            <w:tcBorders>
              <w:top w:val="single" w:sz="2" w:space="0" w:color="auto"/>
              <w:left w:val="single" w:sz="2" w:space="0" w:color="auto"/>
              <w:bottom w:val="single" w:sz="2" w:space="0" w:color="auto"/>
              <w:right w:val="single" w:sz="2" w:space="0" w:color="auto"/>
            </w:tcBorders>
          </w:tcPr>
          <w:p w14:paraId="076C8EEB" w14:textId="2A597E7E" w:rsidR="004F7EF3" w:rsidRPr="000528C9" w:rsidRDefault="007137C8">
            <w:pPr>
              <w:rPr>
                <w:sz w:val="18"/>
                <w:szCs w:val="18"/>
              </w:rPr>
            </w:pPr>
            <w:r w:rsidRPr="000528C9">
              <w:rPr>
                <w:sz w:val="18"/>
                <w:szCs w:val="18"/>
              </w:rPr>
              <w:t>4</w:t>
            </w:r>
            <w:r w:rsidR="00BB060B">
              <w:rPr>
                <w:sz w:val="18"/>
                <w:szCs w:val="18"/>
              </w:rPr>
              <w:t>4</w:t>
            </w:r>
          </w:p>
        </w:tc>
        <w:tc>
          <w:tcPr>
            <w:tcW w:w="810" w:type="dxa"/>
            <w:tcBorders>
              <w:top w:val="single" w:sz="2" w:space="0" w:color="auto"/>
              <w:left w:val="single" w:sz="2" w:space="0" w:color="auto"/>
              <w:bottom w:val="single" w:sz="2" w:space="0" w:color="auto"/>
              <w:right w:val="single" w:sz="2" w:space="0" w:color="auto"/>
            </w:tcBorders>
          </w:tcPr>
          <w:p w14:paraId="6AB37694"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1D9083A" w14:textId="0901C7F6" w:rsidR="004F7EF3" w:rsidRPr="000528C9" w:rsidRDefault="004F7EF3">
            <w:pPr>
              <w:rPr>
                <w:sz w:val="18"/>
                <w:szCs w:val="18"/>
              </w:rPr>
            </w:pPr>
            <w:r w:rsidRPr="000528C9">
              <w:rPr>
                <w:b/>
                <w:sz w:val="18"/>
                <w:szCs w:val="18"/>
              </w:rPr>
              <w:t>Bathroom exhaust fans</w:t>
            </w:r>
            <w:r w:rsidRPr="000528C9">
              <w:rPr>
                <w:sz w:val="18"/>
                <w:szCs w:val="18"/>
              </w:rPr>
              <w:t xml:space="preserve"> shall be ENERGY STAR compliant, ducted to terminate outside the building, and controlled by a </w:t>
            </w:r>
            <w:r w:rsidR="003C314E" w:rsidRPr="000528C9">
              <w:rPr>
                <w:sz w:val="18"/>
                <w:szCs w:val="18"/>
              </w:rPr>
              <w:t>humidistat</w:t>
            </w:r>
            <w:r w:rsidRPr="000528C9">
              <w:rPr>
                <w:sz w:val="18"/>
                <w:szCs w:val="18"/>
              </w:rPr>
              <w:t xml:space="preserve"> capable of being adjusted between the relative humidi</w:t>
            </w:r>
            <w:r w:rsidR="00174379" w:rsidRPr="000528C9">
              <w:rPr>
                <w:sz w:val="18"/>
                <w:szCs w:val="18"/>
              </w:rPr>
              <w:t xml:space="preserve">ty </w:t>
            </w:r>
            <w:r w:rsidR="007A4DA3" w:rsidRPr="000528C9">
              <w:rPr>
                <w:sz w:val="18"/>
                <w:szCs w:val="18"/>
              </w:rPr>
              <w:t>ranges</w:t>
            </w:r>
            <w:r w:rsidR="00174379" w:rsidRPr="000528C9">
              <w:rPr>
                <w:sz w:val="18"/>
                <w:szCs w:val="18"/>
              </w:rPr>
              <w:t xml:space="preserve"> of 50 to 80 percent.  </w:t>
            </w:r>
            <w:r w:rsidR="00844D8D" w:rsidRPr="000528C9">
              <w:rPr>
                <w:sz w:val="18"/>
                <w:szCs w:val="18"/>
              </w:rPr>
              <w:t xml:space="preserve">A humidity control may be a separate component to the exhaust fan and is not required to be integral (i.e. built-in). </w:t>
            </w:r>
            <w:r w:rsidR="00174379" w:rsidRPr="000528C9">
              <w:rPr>
                <w:sz w:val="18"/>
                <w:szCs w:val="18"/>
              </w:rPr>
              <w:t>[</w:t>
            </w:r>
            <w:r w:rsidRPr="000528C9">
              <w:rPr>
                <w:sz w:val="18"/>
                <w:szCs w:val="18"/>
              </w:rPr>
              <w:t>4.506</w:t>
            </w:r>
            <w:r w:rsidR="00844D8D" w:rsidRPr="000528C9">
              <w:rPr>
                <w:sz w:val="18"/>
                <w:szCs w:val="18"/>
              </w:rPr>
              <w:t>.1</w:t>
            </w:r>
            <w:r w:rsidR="00174379"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7E1D413A" w14:textId="77777777" w:rsidR="004F7EF3" w:rsidRPr="000528C9" w:rsidRDefault="004F7EF3">
            <w:pPr>
              <w:rPr>
                <w:sz w:val="18"/>
                <w:szCs w:val="18"/>
              </w:rPr>
            </w:pPr>
          </w:p>
        </w:tc>
      </w:tr>
      <w:tr w:rsidR="004F7EF3" w:rsidRPr="000528C9" w14:paraId="7724423A" w14:textId="77777777" w:rsidTr="0054062C">
        <w:tc>
          <w:tcPr>
            <w:tcW w:w="720" w:type="dxa"/>
            <w:tcBorders>
              <w:top w:val="single" w:sz="2" w:space="0" w:color="auto"/>
              <w:left w:val="single" w:sz="2" w:space="0" w:color="auto"/>
              <w:bottom w:val="single" w:sz="2" w:space="0" w:color="auto"/>
              <w:right w:val="single" w:sz="2" w:space="0" w:color="auto"/>
            </w:tcBorders>
          </w:tcPr>
          <w:p w14:paraId="4944A44F" w14:textId="7F60F995" w:rsidR="004F7EF3" w:rsidRPr="000528C9" w:rsidRDefault="00D316C8">
            <w:pPr>
              <w:rPr>
                <w:sz w:val="18"/>
                <w:szCs w:val="18"/>
              </w:rPr>
            </w:pPr>
            <w:r w:rsidRPr="000528C9">
              <w:rPr>
                <w:sz w:val="18"/>
                <w:szCs w:val="18"/>
              </w:rPr>
              <w:t>4</w:t>
            </w:r>
            <w:r w:rsidR="00BB060B">
              <w:rPr>
                <w:sz w:val="18"/>
                <w:szCs w:val="18"/>
              </w:rPr>
              <w:t>5</w:t>
            </w:r>
          </w:p>
        </w:tc>
        <w:tc>
          <w:tcPr>
            <w:tcW w:w="810" w:type="dxa"/>
            <w:tcBorders>
              <w:top w:val="single" w:sz="2" w:space="0" w:color="auto"/>
              <w:left w:val="single" w:sz="2" w:space="0" w:color="auto"/>
              <w:bottom w:val="single" w:sz="2" w:space="0" w:color="auto"/>
              <w:right w:val="single" w:sz="2" w:space="0" w:color="auto"/>
            </w:tcBorders>
          </w:tcPr>
          <w:p w14:paraId="69604403"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D1E14B6" w14:textId="77777777" w:rsidR="00844D8D" w:rsidRPr="000528C9" w:rsidRDefault="00844D8D" w:rsidP="00844D8D">
            <w:pPr>
              <w:widowControl w:val="0"/>
              <w:rPr>
                <w:sz w:val="18"/>
                <w:szCs w:val="18"/>
              </w:rPr>
            </w:pPr>
            <w:r w:rsidRPr="000528C9">
              <w:rPr>
                <w:b/>
                <w:sz w:val="18"/>
                <w:szCs w:val="18"/>
              </w:rPr>
              <w:t xml:space="preserve">Heating and air conditioning systems </w:t>
            </w:r>
            <w:r w:rsidRPr="000528C9">
              <w:rPr>
                <w:sz w:val="18"/>
                <w:szCs w:val="18"/>
              </w:rPr>
              <w:t>shall be sized, designed, and equipment selected using the following methods</w:t>
            </w:r>
            <w:r w:rsidR="007A4DA3" w:rsidRPr="000528C9">
              <w:rPr>
                <w:sz w:val="18"/>
                <w:szCs w:val="18"/>
              </w:rPr>
              <w:t xml:space="preserve"> [4.507.2]</w:t>
            </w:r>
            <w:r w:rsidRPr="000528C9">
              <w:rPr>
                <w:sz w:val="18"/>
                <w:szCs w:val="18"/>
              </w:rPr>
              <w:t xml:space="preserve">: </w:t>
            </w:r>
          </w:p>
          <w:p w14:paraId="760D59FD" w14:textId="77777777" w:rsidR="00844D8D" w:rsidRPr="000528C9" w:rsidRDefault="00844D8D">
            <w:pPr>
              <w:pStyle w:val="ListParagraph"/>
              <w:widowControl w:val="0"/>
              <w:numPr>
                <w:ilvl w:val="0"/>
                <w:numId w:val="9"/>
              </w:numPr>
              <w:rPr>
                <w:sz w:val="18"/>
                <w:szCs w:val="18"/>
              </w:rPr>
            </w:pPr>
            <w:r w:rsidRPr="000528C9">
              <w:rPr>
                <w:sz w:val="18"/>
                <w:szCs w:val="18"/>
              </w:rPr>
              <w:t xml:space="preserve">The heat loss and heat gain is established according to </w:t>
            </w:r>
            <w:r w:rsidR="00383E3E" w:rsidRPr="000528C9">
              <w:rPr>
                <w:sz w:val="18"/>
                <w:szCs w:val="18"/>
              </w:rPr>
              <w:t>ANSI/A</w:t>
            </w:r>
            <w:r w:rsidR="008C0A5C" w:rsidRPr="000528C9">
              <w:rPr>
                <w:sz w:val="18"/>
                <w:szCs w:val="18"/>
              </w:rPr>
              <w:t>CCA 2 Manual J-2016</w:t>
            </w:r>
            <w:r w:rsidRPr="000528C9">
              <w:rPr>
                <w:sz w:val="18"/>
                <w:szCs w:val="18"/>
              </w:rPr>
              <w:t xml:space="preserve"> (Residential Load Calculation), ASHRAE handbooks or other equivalent design software or methods.</w:t>
            </w:r>
          </w:p>
          <w:p w14:paraId="794230DF" w14:textId="77777777" w:rsidR="00844D8D" w:rsidRPr="000528C9" w:rsidRDefault="00844D8D">
            <w:pPr>
              <w:pStyle w:val="ListParagraph"/>
              <w:widowControl w:val="0"/>
              <w:numPr>
                <w:ilvl w:val="0"/>
                <w:numId w:val="9"/>
              </w:numPr>
              <w:rPr>
                <w:sz w:val="18"/>
                <w:szCs w:val="18"/>
              </w:rPr>
            </w:pPr>
            <w:r w:rsidRPr="000528C9">
              <w:rPr>
                <w:sz w:val="18"/>
                <w:szCs w:val="18"/>
              </w:rPr>
              <w:t>Duct systems are sized accordin</w:t>
            </w:r>
            <w:r w:rsidR="008C0A5C" w:rsidRPr="000528C9">
              <w:rPr>
                <w:sz w:val="18"/>
                <w:szCs w:val="18"/>
              </w:rPr>
              <w:t>g to ANSI/ACCA 1 Manual D-2016</w:t>
            </w:r>
            <w:r w:rsidRPr="000528C9">
              <w:rPr>
                <w:sz w:val="18"/>
                <w:szCs w:val="18"/>
              </w:rPr>
              <w:t xml:space="preserve"> (Residential Duct Systems), ASHRAE handbooks or other equivalent design software or methods.</w:t>
            </w:r>
          </w:p>
          <w:p w14:paraId="7B59E5DA" w14:textId="77777777" w:rsidR="00844D8D" w:rsidRPr="000528C9" w:rsidRDefault="00844D8D">
            <w:pPr>
              <w:pStyle w:val="ListParagraph"/>
              <w:widowControl w:val="0"/>
              <w:numPr>
                <w:ilvl w:val="0"/>
                <w:numId w:val="9"/>
              </w:numPr>
              <w:rPr>
                <w:sz w:val="18"/>
                <w:szCs w:val="18"/>
              </w:rPr>
            </w:pPr>
            <w:r w:rsidRPr="000528C9">
              <w:rPr>
                <w:sz w:val="18"/>
                <w:szCs w:val="18"/>
              </w:rPr>
              <w:t>Select heating and cooling equipment ac</w:t>
            </w:r>
            <w:r w:rsidR="00383E3E" w:rsidRPr="000528C9">
              <w:rPr>
                <w:sz w:val="18"/>
                <w:szCs w:val="18"/>
              </w:rPr>
              <w:t>cording to ANSI/ACCA 3 Manual S-201</w:t>
            </w:r>
            <w:r w:rsidRPr="000528C9">
              <w:rPr>
                <w:sz w:val="18"/>
                <w:szCs w:val="18"/>
              </w:rPr>
              <w:t>4 (Residential Equipment Selection) or other equivalent design software or methods.</w:t>
            </w:r>
          </w:p>
          <w:p w14:paraId="72E244B3" w14:textId="77777777" w:rsidR="004F7EF3" w:rsidRDefault="00844D8D" w:rsidP="00844D8D">
            <w:pPr>
              <w:widowControl w:val="0"/>
              <w:rPr>
                <w:sz w:val="18"/>
                <w:szCs w:val="18"/>
              </w:rPr>
            </w:pPr>
            <w:r w:rsidRPr="000528C9">
              <w:rPr>
                <w:i/>
                <w:sz w:val="18"/>
                <w:szCs w:val="18"/>
              </w:rPr>
              <w:t>Exception</w:t>
            </w:r>
            <w:r w:rsidRPr="000528C9">
              <w:rPr>
                <w:sz w:val="18"/>
                <w:szCs w:val="18"/>
              </w:rPr>
              <w:t>: Use of alternate design temperatures necessary to ensure the system functions are acceptable.</w:t>
            </w:r>
          </w:p>
          <w:p w14:paraId="42D3CC5D" w14:textId="77777777" w:rsidR="009430D4" w:rsidRPr="000528C9" w:rsidRDefault="009430D4" w:rsidP="00844D8D">
            <w:pPr>
              <w:widowControl w:val="0"/>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5253E27A" w14:textId="77777777" w:rsidR="004F7EF3" w:rsidRPr="000528C9" w:rsidRDefault="004F7EF3">
            <w:pPr>
              <w:rPr>
                <w:sz w:val="18"/>
                <w:szCs w:val="18"/>
              </w:rPr>
            </w:pPr>
          </w:p>
        </w:tc>
      </w:tr>
      <w:tr w:rsidR="00AB0E4F" w:rsidRPr="000528C9" w14:paraId="7E9B3E95" w14:textId="77777777" w:rsidTr="0054062C">
        <w:tc>
          <w:tcPr>
            <w:tcW w:w="720" w:type="dxa"/>
            <w:tcBorders>
              <w:top w:val="single" w:sz="2" w:space="0" w:color="auto"/>
              <w:left w:val="single" w:sz="2" w:space="0" w:color="auto"/>
              <w:bottom w:val="single" w:sz="2" w:space="0" w:color="auto"/>
              <w:right w:val="single" w:sz="2" w:space="0" w:color="auto"/>
            </w:tcBorders>
          </w:tcPr>
          <w:p w14:paraId="450D9817" w14:textId="189605A9" w:rsidR="00AB0E4F" w:rsidRPr="000528C9" w:rsidRDefault="00AB0E4F">
            <w:pPr>
              <w:rPr>
                <w:sz w:val="18"/>
                <w:szCs w:val="18"/>
              </w:rPr>
            </w:pPr>
            <w:r w:rsidRPr="000528C9">
              <w:rPr>
                <w:sz w:val="18"/>
                <w:szCs w:val="18"/>
              </w:rPr>
              <w:t>4</w:t>
            </w:r>
            <w:r w:rsidR="00BB060B">
              <w:rPr>
                <w:sz w:val="18"/>
                <w:szCs w:val="18"/>
              </w:rPr>
              <w:t>6</w:t>
            </w:r>
          </w:p>
        </w:tc>
        <w:tc>
          <w:tcPr>
            <w:tcW w:w="810" w:type="dxa"/>
            <w:tcBorders>
              <w:top w:val="single" w:sz="2" w:space="0" w:color="auto"/>
              <w:left w:val="single" w:sz="2" w:space="0" w:color="auto"/>
              <w:bottom w:val="single" w:sz="2" w:space="0" w:color="auto"/>
              <w:right w:val="single" w:sz="2" w:space="0" w:color="auto"/>
            </w:tcBorders>
          </w:tcPr>
          <w:p w14:paraId="35908F49" w14:textId="77777777" w:rsidR="00AB0E4F" w:rsidRPr="000528C9" w:rsidRDefault="00AB0E4F">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5D5B0B3" w14:textId="77777777" w:rsidR="00AB0E4F" w:rsidRPr="000528C9" w:rsidRDefault="00AB0E4F" w:rsidP="007A4DA3">
            <w:pPr>
              <w:widowControl w:val="0"/>
              <w:tabs>
                <w:tab w:val="right" w:pos="520"/>
              </w:tabs>
              <w:rPr>
                <w:sz w:val="18"/>
                <w:szCs w:val="18"/>
              </w:rPr>
            </w:pPr>
            <w:r w:rsidRPr="000528C9">
              <w:rPr>
                <w:sz w:val="18"/>
                <w:szCs w:val="18"/>
              </w:rPr>
              <w:t xml:space="preserve">HVAC system installers shall be trained and certified in the proper installation of HVAC systems and equipment by a recognized training or certification program. </w:t>
            </w:r>
            <w:r w:rsidR="00BA16FC" w:rsidRPr="000528C9">
              <w:rPr>
                <w:sz w:val="18"/>
                <w:szCs w:val="18"/>
              </w:rPr>
              <w:t>[702.1]</w:t>
            </w:r>
          </w:p>
        </w:tc>
        <w:tc>
          <w:tcPr>
            <w:tcW w:w="1620" w:type="dxa"/>
            <w:tcBorders>
              <w:top w:val="single" w:sz="2" w:space="0" w:color="auto"/>
              <w:left w:val="single" w:sz="2" w:space="0" w:color="auto"/>
              <w:bottom w:val="single" w:sz="2" w:space="0" w:color="auto"/>
              <w:right w:val="single" w:sz="2" w:space="0" w:color="auto"/>
            </w:tcBorders>
          </w:tcPr>
          <w:p w14:paraId="71E879F2" w14:textId="77777777" w:rsidR="00AB0E4F" w:rsidRPr="000528C9" w:rsidRDefault="00AB0E4F">
            <w:pPr>
              <w:rPr>
                <w:sz w:val="18"/>
                <w:szCs w:val="18"/>
              </w:rPr>
            </w:pPr>
          </w:p>
        </w:tc>
      </w:tr>
      <w:tr w:rsidR="004F7EF3" w:rsidRPr="000528C9" w14:paraId="29E101E5" w14:textId="77777777" w:rsidTr="0054062C">
        <w:tc>
          <w:tcPr>
            <w:tcW w:w="720" w:type="dxa"/>
            <w:tcBorders>
              <w:top w:val="single" w:sz="2" w:space="0" w:color="auto"/>
              <w:left w:val="single" w:sz="2" w:space="0" w:color="auto"/>
              <w:bottom w:val="single" w:sz="2" w:space="0" w:color="auto"/>
              <w:right w:val="single" w:sz="2" w:space="0" w:color="auto"/>
            </w:tcBorders>
          </w:tcPr>
          <w:p w14:paraId="24BCDC22" w14:textId="6AA1D20C" w:rsidR="004F7EF3" w:rsidRPr="000528C9" w:rsidRDefault="00D316C8">
            <w:pPr>
              <w:rPr>
                <w:sz w:val="18"/>
                <w:szCs w:val="18"/>
              </w:rPr>
            </w:pPr>
            <w:r w:rsidRPr="000528C9">
              <w:rPr>
                <w:sz w:val="18"/>
                <w:szCs w:val="18"/>
              </w:rPr>
              <w:t>4</w:t>
            </w:r>
            <w:r w:rsidR="00BB060B">
              <w:rPr>
                <w:sz w:val="18"/>
                <w:szCs w:val="18"/>
              </w:rPr>
              <w:t>7</w:t>
            </w:r>
          </w:p>
        </w:tc>
        <w:tc>
          <w:tcPr>
            <w:tcW w:w="810" w:type="dxa"/>
            <w:tcBorders>
              <w:top w:val="single" w:sz="2" w:space="0" w:color="auto"/>
              <w:left w:val="single" w:sz="2" w:space="0" w:color="auto"/>
              <w:bottom w:val="single" w:sz="2" w:space="0" w:color="auto"/>
              <w:right w:val="single" w:sz="2" w:space="0" w:color="auto"/>
            </w:tcBorders>
          </w:tcPr>
          <w:p w14:paraId="7C55BD85" w14:textId="77777777" w:rsidR="004F7EF3" w:rsidRPr="000528C9" w:rsidRDefault="004F7EF3">
            <w:pPr>
              <w:rPr>
                <w:sz w:val="18"/>
                <w:szCs w:val="18"/>
              </w:rPr>
            </w:pPr>
          </w:p>
        </w:tc>
        <w:tc>
          <w:tcPr>
            <w:tcW w:w="6210" w:type="dxa"/>
            <w:tcBorders>
              <w:top w:val="single" w:sz="2" w:space="0" w:color="auto"/>
              <w:left w:val="single" w:sz="2" w:space="0" w:color="auto"/>
              <w:bottom w:val="single" w:sz="2" w:space="0" w:color="auto"/>
              <w:right w:val="single" w:sz="2" w:space="0" w:color="auto"/>
            </w:tcBorders>
          </w:tcPr>
          <w:p w14:paraId="005487DD" w14:textId="77777777" w:rsidR="004F7EF3" w:rsidRPr="000528C9" w:rsidRDefault="00393CB2" w:rsidP="007A4DA3">
            <w:pPr>
              <w:widowControl w:val="0"/>
              <w:tabs>
                <w:tab w:val="right" w:pos="520"/>
              </w:tabs>
              <w:rPr>
                <w:sz w:val="18"/>
                <w:szCs w:val="18"/>
              </w:rPr>
            </w:pPr>
            <w:r w:rsidRPr="000528C9">
              <w:rPr>
                <w:sz w:val="18"/>
                <w:szCs w:val="18"/>
              </w:rPr>
              <w:t xml:space="preserve">Special </w:t>
            </w:r>
            <w:r w:rsidR="00317B5A" w:rsidRPr="000528C9">
              <w:rPr>
                <w:sz w:val="18"/>
                <w:szCs w:val="18"/>
              </w:rPr>
              <w:t xml:space="preserve">inspection </w:t>
            </w:r>
            <w:r w:rsidR="00E9453A" w:rsidRPr="000528C9">
              <w:rPr>
                <w:sz w:val="18"/>
                <w:szCs w:val="18"/>
              </w:rPr>
              <w:t xml:space="preserve">maybe </w:t>
            </w:r>
            <w:r w:rsidR="004F7EF3" w:rsidRPr="000528C9">
              <w:rPr>
                <w:sz w:val="18"/>
                <w:szCs w:val="18"/>
              </w:rPr>
              <w:t xml:space="preserve">required for certification of all </w:t>
            </w:r>
            <w:r w:rsidR="004F7EF3" w:rsidRPr="000528C9">
              <w:rPr>
                <w:i/>
                <w:sz w:val="18"/>
                <w:szCs w:val="18"/>
              </w:rPr>
              <w:t xml:space="preserve">CALGreen </w:t>
            </w:r>
            <w:r w:rsidR="004F7EF3" w:rsidRPr="000528C9">
              <w:rPr>
                <w:sz w:val="18"/>
                <w:szCs w:val="18"/>
              </w:rPr>
              <w:t>features in the plans and listed on Mandatory Measures Lists</w:t>
            </w:r>
            <w:r w:rsidR="00B3791E" w:rsidRPr="000528C9">
              <w:rPr>
                <w:sz w:val="18"/>
                <w:szCs w:val="18"/>
              </w:rPr>
              <w:t xml:space="preserve"> [702.2]</w:t>
            </w:r>
            <w:r w:rsidR="004F7EF3" w:rsidRPr="000528C9">
              <w:rPr>
                <w:sz w:val="18"/>
                <w:szCs w:val="18"/>
              </w:rPr>
              <w:t>.</w:t>
            </w:r>
          </w:p>
        </w:tc>
        <w:tc>
          <w:tcPr>
            <w:tcW w:w="1620" w:type="dxa"/>
            <w:tcBorders>
              <w:top w:val="single" w:sz="2" w:space="0" w:color="auto"/>
              <w:left w:val="single" w:sz="2" w:space="0" w:color="auto"/>
              <w:bottom w:val="single" w:sz="2" w:space="0" w:color="auto"/>
              <w:right w:val="single" w:sz="2" w:space="0" w:color="auto"/>
            </w:tcBorders>
          </w:tcPr>
          <w:p w14:paraId="45ECD62B" w14:textId="77777777" w:rsidR="004F7EF3" w:rsidRPr="000528C9" w:rsidRDefault="004F7EF3">
            <w:pPr>
              <w:rPr>
                <w:sz w:val="18"/>
                <w:szCs w:val="18"/>
              </w:rPr>
            </w:pPr>
          </w:p>
        </w:tc>
      </w:tr>
      <w:tr w:rsidR="00485B45" w:rsidRPr="000528C9" w14:paraId="3221808B" w14:textId="77777777" w:rsidTr="0054062C">
        <w:tc>
          <w:tcPr>
            <w:tcW w:w="720" w:type="dxa"/>
            <w:tcBorders>
              <w:top w:val="single" w:sz="2" w:space="0" w:color="auto"/>
              <w:left w:val="single" w:sz="2" w:space="0" w:color="auto"/>
              <w:bottom w:val="single" w:sz="2" w:space="0" w:color="auto"/>
              <w:right w:val="single" w:sz="2" w:space="0" w:color="auto"/>
            </w:tcBorders>
          </w:tcPr>
          <w:p w14:paraId="381280FD" w14:textId="6722A060" w:rsidR="00485B45" w:rsidRPr="000528C9" w:rsidRDefault="00BB060B">
            <w:pPr>
              <w:rPr>
                <w:sz w:val="18"/>
                <w:szCs w:val="18"/>
              </w:rPr>
            </w:pPr>
            <w:r>
              <w:rPr>
                <w:sz w:val="18"/>
                <w:szCs w:val="18"/>
              </w:rPr>
              <w:t>48</w:t>
            </w:r>
          </w:p>
        </w:tc>
        <w:tc>
          <w:tcPr>
            <w:tcW w:w="810" w:type="dxa"/>
            <w:tcBorders>
              <w:top w:val="single" w:sz="2" w:space="0" w:color="auto"/>
              <w:left w:val="single" w:sz="2" w:space="0" w:color="auto"/>
              <w:bottom w:val="single" w:sz="2" w:space="0" w:color="auto"/>
              <w:right w:val="single" w:sz="2" w:space="0" w:color="auto"/>
            </w:tcBorders>
          </w:tcPr>
          <w:p w14:paraId="38EB38BC" w14:textId="77777777" w:rsidR="00485B45" w:rsidRPr="000528C9" w:rsidRDefault="00485B45"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2EC616F" w14:textId="77777777" w:rsidR="00485B45" w:rsidRPr="000528C9" w:rsidRDefault="00485B45" w:rsidP="00A27634">
            <w:pPr>
              <w:rPr>
                <w:sz w:val="18"/>
                <w:szCs w:val="18"/>
              </w:rPr>
            </w:pPr>
            <w:r w:rsidRPr="000528C9">
              <w:rPr>
                <w:sz w:val="18"/>
                <w:szCs w:val="18"/>
              </w:rPr>
              <w:t>Verification of compliance with this code may include construction documents, plans, specifications, builder or installer certification, inspection reports, or other methods acceptable to the enforcing agency which show substantial conformance. [703.1]</w:t>
            </w:r>
          </w:p>
        </w:tc>
        <w:tc>
          <w:tcPr>
            <w:tcW w:w="1620" w:type="dxa"/>
            <w:tcBorders>
              <w:top w:val="single" w:sz="2" w:space="0" w:color="auto"/>
              <w:left w:val="single" w:sz="2" w:space="0" w:color="auto"/>
              <w:bottom w:val="single" w:sz="2" w:space="0" w:color="auto"/>
              <w:right w:val="single" w:sz="2" w:space="0" w:color="auto"/>
            </w:tcBorders>
          </w:tcPr>
          <w:p w14:paraId="3162B0B3" w14:textId="77777777" w:rsidR="00485B45" w:rsidRPr="000528C9" w:rsidRDefault="00485B45">
            <w:pPr>
              <w:rPr>
                <w:sz w:val="18"/>
                <w:szCs w:val="18"/>
              </w:rPr>
            </w:pPr>
          </w:p>
        </w:tc>
      </w:tr>
      <w:tr w:rsidR="00CA1B16" w:rsidRPr="000528C9" w14:paraId="0B926BE6" w14:textId="77777777" w:rsidTr="0054062C">
        <w:tc>
          <w:tcPr>
            <w:tcW w:w="720" w:type="dxa"/>
            <w:tcBorders>
              <w:top w:val="single" w:sz="2" w:space="0" w:color="auto"/>
              <w:left w:val="single" w:sz="2" w:space="0" w:color="auto"/>
              <w:bottom w:val="single" w:sz="2" w:space="0" w:color="auto"/>
              <w:right w:val="single" w:sz="2" w:space="0" w:color="auto"/>
            </w:tcBorders>
          </w:tcPr>
          <w:p w14:paraId="4A4D3335" w14:textId="77777777" w:rsidR="00CA1B16" w:rsidRPr="000528C9" w:rsidRDefault="00CA1B16">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0EB24283" w14:textId="77777777" w:rsidR="00CA1B16" w:rsidRPr="000528C9" w:rsidRDefault="00CA1B16"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67AE4F4A" w14:textId="77777777" w:rsidR="00CA1B16" w:rsidRPr="000528C9" w:rsidRDefault="00CA1B16"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2524B076" w14:textId="77777777" w:rsidR="00CA1B16" w:rsidRPr="000528C9" w:rsidRDefault="00CA1B16">
            <w:pPr>
              <w:rPr>
                <w:sz w:val="18"/>
                <w:szCs w:val="18"/>
              </w:rPr>
            </w:pPr>
          </w:p>
        </w:tc>
      </w:tr>
      <w:tr w:rsidR="00CA1B16" w:rsidRPr="000528C9" w14:paraId="7D29D171" w14:textId="77777777" w:rsidTr="0054062C">
        <w:tc>
          <w:tcPr>
            <w:tcW w:w="720" w:type="dxa"/>
            <w:tcBorders>
              <w:top w:val="single" w:sz="2" w:space="0" w:color="auto"/>
              <w:left w:val="single" w:sz="2" w:space="0" w:color="auto"/>
              <w:bottom w:val="single" w:sz="2" w:space="0" w:color="auto"/>
              <w:right w:val="single" w:sz="2" w:space="0" w:color="auto"/>
            </w:tcBorders>
          </w:tcPr>
          <w:p w14:paraId="0B41FF8B" w14:textId="77777777" w:rsidR="00CA1B16" w:rsidRPr="000528C9" w:rsidRDefault="00CA1B16">
            <w:pPr>
              <w:rPr>
                <w:sz w:val="18"/>
                <w:szCs w:val="18"/>
              </w:rPr>
            </w:pPr>
          </w:p>
        </w:tc>
        <w:tc>
          <w:tcPr>
            <w:tcW w:w="7020" w:type="dxa"/>
            <w:gridSpan w:val="2"/>
            <w:tcBorders>
              <w:top w:val="single" w:sz="2" w:space="0" w:color="auto"/>
              <w:left w:val="single" w:sz="2" w:space="0" w:color="auto"/>
              <w:bottom w:val="single" w:sz="2" w:space="0" w:color="auto"/>
              <w:right w:val="single" w:sz="2" w:space="0" w:color="auto"/>
            </w:tcBorders>
          </w:tcPr>
          <w:p w14:paraId="7DF538AE" w14:textId="77777777" w:rsidR="00CA1B16" w:rsidRPr="000528C9" w:rsidRDefault="00CA1B16" w:rsidP="00A27634">
            <w:pPr>
              <w:rPr>
                <w:b/>
                <w:sz w:val="18"/>
                <w:szCs w:val="18"/>
              </w:rPr>
            </w:pPr>
            <w:r w:rsidRPr="000528C9">
              <w:rPr>
                <w:b/>
                <w:sz w:val="18"/>
                <w:szCs w:val="18"/>
              </w:rPr>
              <w:t>ADDITIONAL CORRECTIONS:</w:t>
            </w:r>
          </w:p>
        </w:tc>
        <w:tc>
          <w:tcPr>
            <w:tcW w:w="1620" w:type="dxa"/>
            <w:tcBorders>
              <w:top w:val="single" w:sz="2" w:space="0" w:color="auto"/>
              <w:left w:val="single" w:sz="2" w:space="0" w:color="auto"/>
              <w:bottom w:val="single" w:sz="2" w:space="0" w:color="auto"/>
              <w:right w:val="single" w:sz="2" w:space="0" w:color="auto"/>
            </w:tcBorders>
          </w:tcPr>
          <w:p w14:paraId="438C6C76" w14:textId="77777777" w:rsidR="00CA1B16" w:rsidRPr="000528C9" w:rsidRDefault="00CA1B16">
            <w:pPr>
              <w:rPr>
                <w:sz w:val="18"/>
                <w:szCs w:val="18"/>
              </w:rPr>
            </w:pPr>
          </w:p>
        </w:tc>
      </w:tr>
      <w:tr w:rsidR="00CA1B16" w:rsidRPr="000528C9" w14:paraId="25702A69" w14:textId="77777777" w:rsidTr="0054062C">
        <w:tc>
          <w:tcPr>
            <w:tcW w:w="720" w:type="dxa"/>
            <w:tcBorders>
              <w:top w:val="single" w:sz="2" w:space="0" w:color="auto"/>
              <w:left w:val="single" w:sz="2" w:space="0" w:color="auto"/>
              <w:bottom w:val="single" w:sz="2" w:space="0" w:color="auto"/>
              <w:right w:val="single" w:sz="2" w:space="0" w:color="auto"/>
            </w:tcBorders>
          </w:tcPr>
          <w:p w14:paraId="4854CF71" w14:textId="77777777" w:rsidR="00CA1B16" w:rsidRPr="000528C9" w:rsidRDefault="00CA1B16">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78A6F166" w14:textId="77777777" w:rsidR="00CA1B16" w:rsidRPr="000528C9" w:rsidRDefault="00CA1B16"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787BD9B" w14:textId="77777777" w:rsidR="00CA1B16" w:rsidRPr="000528C9" w:rsidRDefault="00CA1B16"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6D81BE58" w14:textId="77777777" w:rsidR="00CA1B16" w:rsidRPr="000528C9" w:rsidRDefault="00CA1B16">
            <w:pPr>
              <w:rPr>
                <w:sz w:val="18"/>
                <w:szCs w:val="18"/>
              </w:rPr>
            </w:pPr>
          </w:p>
        </w:tc>
      </w:tr>
      <w:tr w:rsidR="00CA1B16" w:rsidRPr="000528C9" w14:paraId="1279122B" w14:textId="77777777" w:rsidTr="0054062C">
        <w:tc>
          <w:tcPr>
            <w:tcW w:w="720" w:type="dxa"/>
            <w:tcBorders>
              <w:top w:val="single" w:sz="2" w:space="0" w:color="auto"/>
              <w:left w:val="single" w:sz="2" w:space="0" w:color="auto"/>
              <w:bottom w:val="single" w:sz="2" w:space="0" w:color="auto"/>
              <w:right w:val="single" w:sz="2" w:space="0" w:color="auto"/>
            </w:tcBorders>
          </w:tcPr>
          <w:p w14:paraId="5B17BC1C" w14:textId="77777777" w:rsidR="00CA1B16" w:rsidRPr="000528C9" w:rsidRDefault="00CA1B16">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38986054" w14:textId="77777777" w:rsidR="00CA1B16" w:rsidRPr="000528C9" w:rsidRDefault="00CA1B16"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8B44E68" w14:textId="77777777" w:rsidR="00CA1B16" w:rsidRPr="000528C9" w:rsidRDefault="00CA1B16"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4830C818" w14:textId="77777777" w:rsidR="00CA1B16" w:rsidRPr="000528C9" w:rsidRDefault="00CA1B16">
            <w:pPr>
              <w:rPr>
                <w:sz w:val="18"/>
                <w:szCs w:val="18"/>
              </w:rPr>
            </w:pPr>
          </w:p>
        </w:tc>
      </w:tr>
      <w:tr w:rsidR="00B3791E" w:rsidRPr="000528C9" w14:paraId="166F49F3" w14:textId="77777777" w:rsidTr="0054062C">
        <w:tc>
          <w:tcPr>
            <w:tcW w:w="720" w:type="dxa"/>
            <w:tcBorders>
              <w:top w:val="single" w:sz="2" w:space="0" w:color="auto"/>
              <w:left w:val="single" w:sz="2" w:space="0" w:color="auto"/>
              <w:bottom w:val="single" w:sz="2" w:space="0" w:color="auto"/>
              <w:right w:val="single" w:sz="2" w:space="0" w:color="auto"/>
            </w:tcBorders>
          </w:tcPr>
          <w:p w14:paraId="49BAC01B" w14:textId="77777777" w:rsidR="00B3791E" w:rsidRPr="000528C9" w:rsidRDefault="00B3791E">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1C68A666" w14:textId="77777777" w:rsidR="00B3791E" w:rsidRPr="000528C9" w:rsidRDefault="00B3791E"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5C461AE" w14:textId="77777777" w:rsidR="00B3791E" w:rsidRPr="000528C9" w:rsidRDefault="00B3791E"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09E44D1F" w14:textId="77777777" w:rsidR="00B3791E" w:rsidRPr="000528C9" w:rsidRDefault="00B3791E">
            <w:pPr>
              <w:rPr>
                <w:sz w:val="18"/>
                <w:szCs w:val="18"/>
              </w:rPr>
            </w:pPr>
          </w:p>
        </w:tc>
      </w:tr>
      <w:tr w:rsidR="000528C9" w:rsidRPr="000528C9" w14:paraId="00AE6A8D" w14:textId="77777777" w:rsidTr="0054062C">
        <w:tc>
          <w:tcPr>
            <w:tcW w:w="720" w:type="dxa"/>
            <w:tcBorders>
              <w:top w:val="single" w:sz="2" w:space="0" w:color="auto"/>
              <w:left w:val="single" w:sz="2" w:space="0" w:color="auto"/>
              <w:bottom w:val="single" w:sz="2" w:space="0" w:color="auto"/>
              <w:right w:val="single" w:sz="2" w:space="0" w:color="auto"/>
            </w:tcBorders>
          </w:tcPr>
          <w:p w14:paraId="75F83207" w14:textId="77777777" w:rsidR="000528C9" w:rsidRPr="000528C9" w:rsidRDefault="000528C9">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4DA426EF" w14:textId="77777777" w:rsidR="000528C9" w:rsidRPr="000528C9" w:rsidRDefault="000528C9"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2D768A59" w14:textId="77777777" w:rsidR="000528C9" w:rsidRPr="000528C9" w:rsidRDefault="000528C9"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37A644E9" w14:textId="77777777" w:rsidR="000528C9" w:rsidRPr="000528C9" w:rsidRDefault="000528C9">
            <w:pPr>
              <w:rPr>
                <w:sz w:val="18"/>
                <w:szCs w:val="18"/>
              </w:rPr>
            </w:pPr>
          </w:p>
        </w:tc>
      </w:tr>
      <w:tr w:rsidR="000528C9" w:rsidRPr="000528C9" w14:paraId="462D60A2" w14:textId="77777777" w:rsidTr="0054062C">
        <w:tc>
          <w:tcPr>
            <w:tcW w:w="720" w:type="dxa"/>
            <w:tcBorders>
              <w:top w:val="single" w:sz="2" w:space="0" w:color="auto"/>
              <w:left w:val="single" w:sz="2" w:space="0" w:color="auto"/>
              <w:bottom w:val="single" w:sz="2" w:space="0" w:color="auto"/>
              <w:right w:val="single" w:sz="2" w:space="0" w:color="auto"/>
            </w:tcBorders>
          </w:tcPr>
          <w:p w14:paraId="4D6D3C79" w14:textId="77777777" w:rsidR="000528C9" w:rsidRPr="000528C9" w:rsidRDefault="000528C9">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72B5DEB9" w14:textId="77777777" w:rsidR="000528C9" w:rsidRPr="000528C9" w:rsidRDefault="000528C9"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462E4735" w14:textId="77777777" w:rsidR="000528C9" w:rsidRPr="000528C9" w:rsidRDefault="000528C9"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786E9A96" w14:textId="77777777" w:rsidR="000528C9" w:rsidRPr="000528C9" w:rsidRDefault="000528C9">
            <w:pPr>
              <w:rPr>
                <w:sz w:val="18"/>
                <w:szCs w:val="18"/>
              </w:rPr>
            </w:pPr>
          </w:p>
        </w:tc>
      </w:tr>
      <w:tr w:rsidR="000528C9" w:rsidRPr="000528C9" w14:paraId="617A4AA5" w14:textId="77777777" w:rsidTr="0054062C">
        <w:tc>
          <w:tcPr>
            <w:tcW w:w="720" w:type="dxa"/>
            <w:tcBorders>
              <w:top w:val="single" w:sz="2" w:space="0" w:color="auto"/>
              <w:left w:val="single" w:sz="2" w:space="0" w:color="auto"/>
              <w:bottom w:val="single" w:sz="2" w:space="0" w:color="auto"/>
              <w:right w:val="single" w:sz="2" w:space="0" w:color="auto"/>
            </w:tcBorders>
          </w:tcPr>
          <w:p w14:paraId="4929E898" w14:textId="77777777" w:rsidR="000528C9" w:rsidRPr="000528C9" w:rsidRDefault="000528C9">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67CCF292" w14:textId="77777777" w:rsidR="000528C9" w:rsidRPr="000528C9" w:rsidRDefault="000528C9"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3C82C5B2" w14:textId="77777777" w:rsidR="000528C9" w:rsidRPr="000528C9" w:rsidRDefault="000528C9"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7FE724C3" w14:textId="77777777" w:rsidR="000528C9" w:rsidRPr="000528C9" w:rsidRDefault="000528C9">
            <w:pPr>
              <w:rPr>
                <w:sz w:val="18"/>
                <w:szCs w:val="18"/>
              </w:rPr>
            </w:pPr>
          </w:p>
        </w:tc>
      </w:tr>
      <w:tr w:rsidR="000528C9" w:rsidRPr="000528C9" w14:paraId="0C30D1A3" w14:textId="77777777" w:rsidTr="0054062C">
        <w:tc>
          <w:tcPr>
            <w:tcW w:w="720" w:type="dxa"/>
            <w:tcBorders>
              <w:top w:val="single" w:sz="2" w:space="0" w:color="auto"/>
              <w:left w:val="single" w:sz="2" w:space="0" w:color="auto"/>
              <w:bottom w:val="single" w:sz="2" w:space="0" w:color="auto"/>
              <w:right w:val="single" w:sz="2" w:space="0" w:color="auto"/>
            </w:tcBorders>
          </w:tcPr>
          <w:p w14:paraId="0E7BD68E" w14:textId="77777777" w:rsidR="000528C9" w:rsidRPr="000528C9" w:rsidRDefault="000528C9">
            <w:pPr>
              <w:rPr>
                <w:sz w:val="18"/>
                <w:szCs w:val="18"/>
              </w:rPr>
            </w:pPr>
          </w:p>
        </w:tc>
        <w:tc>
          <w:tcPr>
            <w:tcW w:w="810" w:type="dxa"/>
            <w:tcBorders>
              <w:top w:val="single" w:sz="2" w:space="0" w:color="auto"/>
              <w:left w:val="single" w:sz="2" w:space="0" w:color="auto"/>
              <w:bottom w:val="single" w:sz="2" w:space="0" w:color="auto"/>
              <w:right w:val="single" w:sz="2" w:space="0" w:color="auto"/>
            </w:tcBorders>
          </w:tcPr>
          <w:p w14:paraId="3FE2BC49" w14:textId="77777777" w:rsidR="000528C9" w:rsidRPr="000528C9" w:rsidRDefault="000528C9" w:rsidP="00A27634">
            <w:pPr>
              <w:rPr>
                <w:b/>
                <w:sz w:val="18"/>
                <w:szCs w:val="18"/>
              </w:rPr>
            </w:pPr>
          </w:p>
        </w:tc>
        <w:tc>
          <w:tcPr>
            <w:tcW w:w="6210" w:type="dxa"/>
            <w:tcBorders>
              <w:top w:val="single" w:sz="2" w:space="0" w:color="auto"/>
              <w:left w:val="single" w:sz="2" w:space="0" w:color="auto"/>
              <w:bottom w:val="single" w:sz="2" w:space="0" w:color="auto"/>
              <w:right w:val="single" w:sz="2" w:space="0" w:color="auto"/>
            </w:tcBorders>
          </w:tcPr>
          <w:p w14:paraId="785E06EC" w14:textId="77777777" w:rsidR="000528C9" w:rsidRPr="000528C9" w:rsidRDefault="000528C9" w:rsidP="00A27634">
            <w:pPr>
              <w:rPr>
                <w:sz w:val="18"/>
                <w:szCs w:val="18"/>
              </w:rPr>
            </w:pPr>
          </w:p>
        </w:tc>
        <w:tc>
          <w:tcPr>
            <w:tcW w:w="1620" w:type="dxa"/>
            <w:tcBorders>
              <w:top w:val="single" w:sz="2" w:space="0" w:color="auto"/>
              <w:left w:val="single" w:sz="2" w:space="0" w:color="auto"/>
              <w:bottom w:val="single" w:sz="2" w:space="0" w:color="auto"/>
              <w:right w:val="single" w:sz="2" w:space="0" w:color="auto"/>
            </w:tcBorders>
          </w:tcPr>
          <w:p w14:paraId="4A3C73BC" w14:textId="77777777" w:rsidR="000528C9" w:rsidRPr="000528C9" w:rsidRDefault="000528C9">
            <w:pPr>
              <w:rPr>
                <w:sz w:val="18"/>
                <w:szCs w:val="18"/>
              </w:rPr>
            </w:pPr>
          </w:p>
        </w:tc>
      </w:tr>
    </w:tbl>
    <w:p w14:paraId="46749EC8" w14:textId="77777777" w:rsidR="005836C7" w:rsidRPr="00C91017" w:rsidRDefault="005836C7" w:rsidP="005836C7">
      <w:pPr>
        <w:ind w:left="-540"/>
        <w:jc w:val="both"/>
        <w:rPr>
          <w:sz w:val="18"/>
          <w:szCs w:val="18"/>
        </w:rPr>
      </w:pPr>
    </w:p>
    <w:sectPr w:rsidR="005836C7" w:rsidRPr="00C91017" w:rsidSect="00B20C9A">
      <w:footerReference w:type="even" r:id="rId9"/>
      <w:footerReference w:type="default" r:id="rId10"/>
      <w:pgSz w:w="12240" w:h="15840"/>
      <w:pgMar w:top="1080" w:right="1440" w:bottom="1440" w:left="1440" w:header="720" w:footer="720"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15D7" w14:textId="77777777" w:rsidR="00B20C9A" w:rsidRDefault="00B20C9A">
      <w:r>
        <w:separator/>
      </w:r>
    </w:p>
  </w:endnote>
  <w:endnote w:type="continuationSeparator" w:id="0">
    <w:p w14:paraId="11BC097B" w14:textId="77777777" w:rsidR="00B20C9A" w:rsidRDefault="00B2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4D49" w14:textId="7FCEC794" w:rsidR="00AE15CB" w:rsidRDefault="00446EBB" w:rsidP="00D346D0">
    <w:pPr>
      <w:pStyle w:val="Footer"/>
      <w:framePr w:wrap="around" w:vAnchor="text" w:hAnchor="margin" w:xAlign="right" w:y="1"/>
      <w:rPr>
        <w:rStyle w:val="PageNumber"/>
      </w:rPr>
    </w:pPr>
    <w:r>
      <w:rPr>
        <w:rStyle w:val="PageNumber"/>
      </w:rPr>
      <w:fldChar w:fldCharType="begin"/>
    </w:r>
    <w:r w:rsidR="00AE15CB">
      <w:rPr>
        <w:rStyle w:val="PageNumber"/>
      </w:rPr>
      <w:instrText xml:space="preserve">PAGE  </w:instrText>
    </w:r>
    <w:r>
      <w:rPr>
        <w:rStyle w:val="PageNumber"/>
      </w:rPr>
      <w:fldChar w:fldCharType="separate"/>
    </w:r>
    <w:r w:rsidR="00FD15D3">
      <w:rPr>
        <w:rStyle w:val="PageNumber"/>
        <w:noProof/>
      </w:rPr>
      <w:t>1</w:t>
    </w:r>
    <w:r>
      <w:rPr>
        <w:rStyle w:val="PageNumber"/>
      </w:rPr>
      <w:fldChar w:fldCharType="end"/>
    </w:r>
  </w:p>
  <w:p w14:paraId="1EDEBCB1" w14:textId="77777777" w:rsidR="00AE15CB" w:rsidRDefault="00AE15CB" w:rsidP="00981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BD7" w14:textId="25391527" w:rsidR="00AE15CB" w:rsidRPr="00CC2D0B" w:rsidRDefault="00446EBB" w:rsidP="00C0209B">
    <w:pPr>
      <w:pStyle w:val="Footer"/>
      <w:ind w:right="360"/>
      <w:jc w:val="center"/>
      <w:rPr>
        <w:sz w:val="16"/>
        <w:szCs w:val="16"/>
      </w:rPr>
    </w:pPr>
    <w:r w:rsidRPr="00CC2D0B">
      <w:rPr>
        <w:sz w:val="16"/>
        <w:szCs w:val="16"/>
      </w:rPr>
      <w:fldChar w:fldCharType="begin"/>
    </w:r>
    <w:r w:rsidR="00AE15CB" w:rsidRPr="00CC2D0B">
      <w:rPr>
        <w:sz w:val="16"/>
        <w:szCs w:val="16"/>
      </w:rPr>
      <w:instrText xml:space="preserve"> FILENAME </w:instrText>
    </w:r>
    <w:r w:rsidRPr="00CC2D0B">
      <w:rPr>
        <w:sz w:val="16"/>
        <w:szCs w:val="16"/>
      </w:rPr>
      <w:fldChar w:fldCharType="separate"/>
    </w:r>
    <w:r w:rsidR="00FD15D3">
      <w:rPr>
        <w:noProof/>
        <w:sz w:val="16"/>
        <w:szCs w:val="16"/>
      </w:rPr>
      <w:t xml:space="preserve">Residential Correction List (2022 CALGREEN </w:t>
    </w:r>
    <w:r w:rsidR="00255268" w:rsidRPr="003C314E">
      <w:rPr>
        <w:noProof/>
        <w:color w:val="C00000"/>
        <w:sz w:val="16"/>
        <w:szCs w:val="16"/>
      </w:rPr>
      <w:t xml:space="preserve">with supplement </w:t>
    </w:r>
    <w:r w:rsidR="00FD15D3" w:rsidRPr="003C314E">
      <w:rPr>
        <w:noProof/>
        <w:color w:val="C00000"/>
        <w:sz w:val="16"/>
        <w:szCs w:val="16"/>
      </w:rPr>
      <w:t>effective J</w:t>
    </w:r>
    <w:r w:rsidR="00255268" w:rsidRPr="003C314E">
      <w:rPr>
        <w:noProof/>
        <w:color w:val="C00000"/>
        <w:sz w:val="16"/>
        <w:szCs w:val="16"/>
      </w:rPr>
      <w:t>uly</w:t>
    </w:r>
    <w:r w:rsidR="00FD15D3" w:rsidRPr="003C314E">
      <w:rPr>
        <w:noProof/>
        <w:color w:val="C00000"/>
        <w:sz w:val="16"/>
        <w:szCs w:val="16"/>
      </w:rPr>
      <w:t xml:space="preserve"> 1</w:t>
    </w:r>
    <w:r w:rsidR="00E60743" w:rsidRPr="003C314E">
      <w:rPr>
        <w:noProof/>
        <w:color w:val="C00000"/>
        <w:sz w:val="16"/>
        <w:szCs w:val="16"/>
      </w:rPr>
      <w:t>,</w:t>
    </w:r>
    <w:r w:rsidR="00FD15D3" w:rsidRPr="003C314E">
      <w:rPr>
        <w:noProof/>
        <w:color w:val="C00000"/>
        <w:sz w:val="16"/>
        <w:szCs w:val="16"/>
      </w:rPr>
      <w:t xml:space="preserve"> 202</w:t>
    </w:r>
    <w:r w:rsidR="00255268" w:rsidRPr="003C314E">
      <w:rPr>
        <w:noProof/>
        <w:color w:val="C00000"/>
        <w:sz w:val="16"/>
        <w:szCs w:val="16"/>
      </w:rPr>
      <w:t>4</w:t>
    </w:r>
    <w:r w:rsidR="00FD15D3">
      <w:rPr>
        <w:noProof/>
        <w:sz w:val="16"/>
        <w:szCs w:val="16"/>
      </w:rPr>
      <w:t>)</w:t>
    </w:r>
    <w:r w:rsidRPr="00CC2D0B">
      <w:rPr>
        <w:sz w:val="16"/>
        <w:szCs w:val="16"/>
      </w:rPr>
      <w:fldChar w:fldCharType="end"/>
    </w:r>
    <w:r w:rsidR="00AE15CB">
      <w:rPr>
        <w:sz w:val="16"/>
        <w:szCs w:val="16"/>
      </w:rPr>
      <w:t xml:space="preserve">  </w:t>
    </w:r>
    <w:r w:rsidR="00B040DA">
      <w:rPr>
        <w:sz w:val="16"/>
        <w:szCs w:val="16"/>
      </w:rPr>
      <w:t xml:space="preserve">   </w:t>
    </w:r>
    <w:r w:rsidR="00291097">
      <w:rPr>
        <w:sz w:val="16"/>
        <w:szCs w:val="16"/>
      </w:rPr>
      <w:t xml:space="preserve">                                 </w:t>
    </w:r>
    <w:r w:rsidR="00AE15CB">
      <w:rPr>
        <w:sz w:val="16"/>
        <w:szCs w:val="16"/>
      </w:rPr>
      <w:t xml:space="preserve">     </w:t>
    </w:r>
    <w:r w:rsidR="00AE15CB" w:rsidRPr="00CC2D0B">
      <w:rPr>
        <w:sz w:val="16"/>
        <w:szCs w:val="16"/>
      </w:rPr>
      <w:t xml:space="preserve">   </w:t>
    </w:r>
    <w:r w:rsidR="00AE15CB">
      <w:rPr>
        <w:sz w:val="16"/>
        <w:szCs w:val="16"/>
      </w:rPr>
      <w:t xml:space="preserve">                </w:t>
    </w:r>
    <w:r w:rsidR="00AE15CB" w:rsidRPr="00CC2D0B">
      <w:rPr>
        <w:sz w:val="16"/>
        <w:szCs w:val="16"/>
      </w:rPr>
      <w:t xml:space="preserve"> Page </w:t>
    </w:r>
    <w:r w:rsidRPr="00CC2D0B">
      <w:rPr>
        <w:sz w:val="16"/>
        <w:szCs w:val="16"/>
      </w:rPr>
      <w:fldChar w:fldCharType="begin"/>
    </w:r>
    <w:r w:rsidR="00AE15CB" w:rsidRPr="00CC2D0B">
      <w:rPr>
        <w:sz w:val="16"/>
        <w:szCs w:val="16"/>
      </w:rPr>
      <w:instrText xml:space="preserve"> PAGE </w:instrText>
    </w:r>
    <w:r w:rsidRPr="00CC2D0B">
      <w:rPr>
        <w:sz w:val="16"/>
        <w:szCs w:val="16"/>
      </w:rPr>
      <w:fldChar w:fldCharType="separate"/>
    </w:r>
    <w:r w:rsidR="00FA1F22">
      <w:rPr>
        <w:noProof/>
        <w:sz w:val="16"/>
        <w:szCs w:val="16"/>
      </w:rPr>
      <w:t>1</w:t>
    </w:r>
    <w:r w:rsidRPr="00CC2D0B">
      <w:rPr>
        <w:sz w:val="16"/>
        <w:szCs w:val="16"/>
      </w:rPr>
      <w:fldChar w:fldCharType="end"/>
    </w:r>
    <w:r w:rsidR="00AE15CB" w:rsidRPr="00CC2D0B">
      <w:rPr>
        <w:sz w:val="16"/>
        <w:szCs w:val="16"/>
      </w:rPr>
      <w:t xml:space="preserve"> of </w:t>
    </w:r>
    <w:r w:rsidRPr="00CC2D0B">
      <w:rPr>
        <w:sz w:val="16"/>
        <w:szCs w:val="16"/>
      </w:rPr>
      <w:fldChar w:fldCharType="begin"/>
    </w:r>
    <w:r w:rsidR="00AE15CB" w:rsidRPr="00CC2D0B">
      <w:rPr>
        <w:sz w:val="16"/>
        <w:szCs w:val="16"/>
      </w:rPr>
      <w:instrText xml:space="preserve"> NUMPAGES </w:instrText>
    </w:r>
    <w:r w:rsidRPr="00CC2D0B">
      <w:rPr>
        <w:sz w:val="16"/>
        <w:szCs w:val="16"/>
      </w:rPr>
      <w:fldChar w:fldCharType="separate"/>
    </w:r>
    <w:r w:rsidR="00FA1F22">
      <w:rPr>
        <w:noProof/>
        <w:sz w:val="16"/>
        <w:szCs w:val="16"/>
      </w:rPr>
      <w:t>7</w:t>
    </w:r>
    <w:r w:rsidRPr="00CC2D0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E61D" w14:textId="77777777" w:rsidR="00B20C9A" w:rsidRDefault="00B20C9A">
      <w:r>
        <w:separator/>
      </w:r>
    </w:p>
  </w:footnote>
  <w:footnote w:type="continuationSeparator" w:id="0">
    <w:p w14:paraId="6F52B975" w14:textId="77777777" w:rsidR="00B20C9A" w:rsidRDefault="00B20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BD"/>
    <w:multiLevelType w:val="hybridMultilevel"/>
    <w:tmpl w:val="5C0A54A6"/>
    <w:lvl w:ilvl="0" w:tplc="04090017">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0E7895"/>
    <w:multiLevelType w:val="hybridMultilevel"/>
    <w:tmpl w:val="AFAC0944"/>
    <w:lvl w:ilvl="0" w:tplc="FFFFFFFF">
      <w:start w:val="1"/>
      <w:numFmt w:val="decimal"/>
      <w:lvlText w:val="%1."/>
      <w:lvlJc w:val="righ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4551AB"/>
    <w:multiLevelType w:val="hybridMultilevel"/>
    <w:tmpl w:val="020CFA4E"/>
    <w:lvl w:ilvl="0" w:tplc="CB447D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C863AF"/>
    <w:multiLevelType w:val="hybridMultilevel"/>
    <w:tmpl w:val="77486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D56E7"/>
    <w:multiLevelType w:val="hybridMultilevel"/>
    <w:tmpl w:val="7BDAD4E8"/>
    <w:lvl w:ilvl="0" w:tplc="04090019">
      <w:start w:val="1"/>
      <w:numFmt w:val="lowerLetter"/>
      <w:lvlText w:val="%1."/>
      <w:lvlJc w:val="left"/>
      <w:pPr>
        <w:ind w:left="1080" w:hanging="360"/>
      </w:pPr>
    </w:lvl>
    <w:lvl w:ilvl="1" w:tplc="5BDC7000">
      <w:start w:val="1"/>
      <w:numFmt w:val="decimal"/>
      <w:lvlText w:val="%2."/>
      <w:lvlJc w:val="left"/>
      <w:pPr>
        <w:ind w:left="1800" w:hanging="360"/>
      </w:pPr>
      <w:rPr>
        <w:rFonts w:hint="default"/>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031D9A"/>
    <w:multiLevelType w:val="hybridMultilevel"/>
    <w:tmpl w:val="90323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42374"/>
    <w:multiLevelType w:val="hybridMultilevel"/>
    <w:tmpl w:val="943AF86C"/>
    <w:lvl w:ilvl="0" w:tplc="FFFFFFFF">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B2B8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D97673"/>
    <w:multiLevelType w:val="hybridMultilevel"/>
    <w:tmpl w:val="A4DAEB7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391E73"/>
    <w:multiLevelType w:val="hybridMultilevel"/>
    <w:tmpl w:val="D4F8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A96420"/>
    <w:multiLevelType w:val="hybridMultilevel"/>
    <w:tmpl w:val="EEA24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70155"/>
    <w:multiLevelType w:val="hybridMultilevel"/>
    <w:tmpl w:val="575A783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color w:val="FF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B609D8"/>
    <w:multiLevelType w:val="singleLevel"/>
    <w:tmpl w:val="7F6CCBE4"/>
    <w:lvl w:ilvl="0">
      <w:start w:val="1"/>
      <w:numFmt w:val="bullet"/>
      <w:lvlText w:val=""/>
      <w:lvlJc w:val="left"/>
      <w:pPr>
        <w:tabs>
          <w:tab w:val="num" w:pos="1080"/>
        </w:tabs>
        <w:ind w:left="1080" w:hanging="360"/>
      </w:pPr>
      <w:rPr>
        <w:rFonts w:ascii="Symbol" w:hAnsi="Symbol" w:hint="default"/>
        <w:b/>
        <w:i w:val="0"/>
        <w:color w:val="auto"/>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C75373"/>
    <w:multiLevelType w:val="hybridMultilevel"/>
    <w:tmpl w:val="55981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C6B13"/>
    <w:multiLevelType w:val="hybridMultilevel"/>
    <w:tmpl w:val="07EEADEA"/>
    <w:lvl w:ilvl="0" w:tplc="299E0D2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BB71F9"/>
    <w:multiLevelType w:val="hybridMultilevel"/>
    <w:tmpl w:val="AFAC0944"/>
    <w:lvl w:ilvl="0" w:tplc="D76A80B0">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96C4E"/>
    <w:multiLevelType w:val="hybridMultilevel"/>
    <w:tmpl w:val="55D074EE"/>
    <w:lvl w:ilvl="0" w:tplc="AE06B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934F5"/>
    <w:multiLevelType w:val="hybridMultilevel"/>
    <w:tmpl w:val="A37EC4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1A0125"/>
    <w:multiLevelType w:val="hybridMultilevel"/>
    <w:tmpl w:val="A4DAEB72"/>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3A7B71"/>
    <w:multiLevelType w:val="hybridMultilevel"/>
    <w:tmpl w:val="F814D42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C0F8E"/>
    <w:multiLevelType w:val="hybridMultilevel"/>
    <w:tmpl w:val="D59E8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B66D4"/>
    <w:multiLevelType w:val="hybridMultilevel"/>
    <w:tmpl w:val="FF424AF6"/>
    <w:lvl w:ilvl="0" w:tplc="04090017">
      <w:start w:val="1"/>
      <w:numFmt w:val="lowerLetter"/>
      <w:lvlText w:val="%1)"/>
      <w:lvlJc w:val="left"/>
      <w:pPr>
        <w:ind w:left="720" w:hanging="360"/>
      </w:pPr>
    </w:lvl>
    <w:lvl w:ilvl="1" w:tplc="35BAAC5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95255">
    <w:abstractNumId w:val="12"/>
  </w:num>
  <w:num w:numId="2" w16cid:durableId="25106379">
    <w:abstractNumId w:val="7"/>
  </w:num>
  <w:num w:numId="3" w16cid:durableId="1941646608">
    <w:abstractNumId w:val="5"/>
  </w:num>
  <w:num w:numId="4" w16cid:durableId="107622410">
    <w:abstractNumId w:val="10"/>
  </w:num>
  <w:num w:numId="5" w16cid:durableId="582105995">
    <w:abstractNumId w:val="21"/>
  </w:num>
  <w:num w:numId="6" w16cid:durableId="2130053445">
    <w:abstractNumId w:val="19"/>
  </w:num>
  <w:num w:numId="7" w16cid:durableId="1809205523">
    <w:abstractNumId w:val="9"/>
  </w:num>
  <w:num w:numId="8" w16cid:durableId="435029891">
    <w:abstractNumId w:val="0"/>
  </w:num>
  <w:num w:numId="9" w16cid:durableId="783620588">
    <w:abstractNumId w:val="13"/>
  </w:num>
  <w:num w:numId="10" w16cid:durableId="1486363056">
    <w:abstractNumId w:val="2"/>
  </w:num>
  <w:num w:numId="11" w16cid:durableId="566497085">
    <w:abstractNumId w:val="20"/>
  </w:num>
  <w:num w:numId="12" w16cid:durableId="1596479065">
    <w:abstractNumId w:val="3"/>
  </w:num>
  <w:num w:numId="13" w16cid:durableId="1924755248">
    <w:abstractNumId w:val="14"/>
  </w:num>
  <w:num w:numId="14" w16cid:durableId="2052415499">
    <w:abstractNumId w:val="8"/>
  </w:num>
  <w:num w:numId="15" w16cid:durableId="102043734">
    <w:abstractNumId w:val="18"/>
  </w:num>
  <w:num w:numId="16" w16cid:durableId="1525901827">
    <w:abstractNumId w:val="6"/>
  </w:num>
  <w:num w:numId="17" w16cid:durableId="839739747">
    <w:abstractNumId w:val="15"/>
  </w:num>
  <w:num w:numId="18" w16cid:durableId="868372915">
    <w:abstractNumId w:val="1"/>
  </w:num>
  <w:num w:numId="19" w16cid:durableId="796215268">
    <w:abstractNumId w:val="4"/>
  </w:num>
  <w:num w:numId="20" w16cid:durableId="1293712035">
    <w:abstractNumId w:val="11"/>
  </w:num>
  <w:num w:numId="21" w16cid:durableId="226646917">
    <w:abstractNumId w:val="16"/>
  </w:num>
  <w:num w:numId="22" w16cid:durableId="44427018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01"/>
    <w:rsid w:val="000003B1"/>
    <w:rsid w:val="00000A75"/>
    <w:rsid w:val="00001EB5"/>
    <w:rsid w:val="0000394D"/>
    <w:rsid w:val="00010C14"/>
    <w:rsid w:val="00013E22"/>
    <w:rsid w:val="000152A7"/>
    <w:rsid w:val="00020412"/>
    <w:rsid w:val="0002202A"/>
    <w:rsid w:val="00024AA9"/>
    <w:rsid w:val="00033017"/>
    <w:rsid w:val="00034E09"/>
    <w:rsid w:val="00037603"/>
    <w:rsid w:val="00037AB5"/>
    <w:rsid w:val="0004452A"/>
    <w:rsid w:val="00044CC4"/>
    <w:rsid w:val="000464DC"/>
    <w:rsid w:val="000528C9"/>
    <w:rsid w:val="000540F6"/>
    <w:rsid w:val="0005484C"/>
    <w:rsid w:val="00056370"/>
    <w:rsid w:val="00060868"/>
    <w:rsid w:val="00060BE4"/>
    <w:rsid w:val="00060E07"/>
    <w:rsid w:val="00061B95"/>
    <w:rsid w:val="0006413B"/>
    <w:rsid w:val="00067F83"/>
    <w:rsid w:val="000709C1"/>
    <w:rsid w:val="00071FAB"/>
    <w:rsid w:val="000731F0"/>
    <w:rsid w:val="0007544E"/>
    <w:rsid w:val="000755EF"/>
    <w:rsid w:val="0007710F"/>
    <w:rsid w:val="000812F1"/>
    <w:rsid w:val="00081EC3"/>
    <w:rsid w:val="000838BB"/>
    <w:rsid w:val="00084E8F"/>
    <w:rsid w:val="00091C47"/>
    <w:rsid w:val="00093ACE"/>
    <w:rsid w:val="000A0C29"/>
    <w:rsid w:val="000A10D2"/>
    <w:rsid w:val="000A1549"/>
    <w:rsid w:val="000A5666"/>
    <w:rsid w:val="000A5827"/>
    <w:rsid w:val="000B1289"/>
    <w:rsid w:val="000B13FC"/>
    <w:rsid w:val="000B5C6E"/>
    <w:rsid w:val="000C0C06"/>
    <w:rsid w:val="000C0F94"/>
    <w:rsid w:val="000C2981"/>
    <w:rsid w:val="000C2D3C"/>
    <w:rsid w:val="000C3113"/>
    <w:rsid w:val="000C6196"/>
    <w:rsid w:val="000C63D1"/>
    <w:rsid w:val="000C785C"/>
    <w:rsid w:val="000D0C01"/>
    <w:rsid w:val="000D0FB5"/>
    <w:rsid w:val="000D207F"/>
    <w:rsid w:val="000D3405"/>
    <w:rsid w:val="000D4B8B"/>
    <w:rsid w:val="000D5BEA"/>
    <w:rsid w:val="000D5EA6"/>
    <w:rsid w:val="000D6CCA"/>
    <w:rsid w:val="000D796C"/>
    <w:rsid w:val="000E00B2"/>
    <w:rsid w:val="000E3EE5"/>
    <w:rsid w:val="000E4739"/>
    <w:rsid w:val="000F1408"/>
    <w:rsid w:val="000F2D08"/>
    <w:rsid w:val="000F6879"/>
    <w:rsid w:val="00101D00"/>
    <w:rsid w:val="0010333B"/>
    <w:rsid w:val="0010461B"/>
    <w:rsid w:val="001047A7"/>
    <w:rsid w:val="00104819"/>
    <w:rsid w:val="00104FBB"/>
    <w:rsid w:val="001054D9"/>
    <w:rsid w:val="00105BBE"/>
    <w:rsid w:val="00114574"/>
    <w:rsid w:val="00121808"/>
    <w:rsid w:val="0012621D"/>
    <w:rsid w:val="00127402"/>
    <w:rsid w:val="0012790C"/>
    <w:rsid w:val="00131834"/>
    <w:rsid w:val="00132215"/>
    <w:rsid w:val="001324F3"/>
    <w:rsid w:val="00132DD0"/>
    <w:rsid w:val="00134F41"/>
    <w:rsid w:val="00135106"/>
    <w:rsid w:val="00135E04"/>
    <w:rsid w:val="0014547A"/>
    <w:rsid w:val="00145642"/>
    <w:rsid w:val="00146F6B"/>
    <w:rsid w:val="001470D0"/>
    <w:rsid w:val="00151483"/>
    <w:rsid w:val="001541FE"/>
    <w:rsid w:val="00155D1F"/>
    <w:rsid w:val="00156667"/>
    <w:rsid w:val="00156B8D"/>
    <w:rsid w:val="001607AE"/>
    <w:rsid w:val="00160EAE"/>
    <w:rsid w:val="00162663"/>
    <w:rsid w:val="00166302"/>
    <w:rsid w:val="0016688D"/>
    <w:rsid w:val="00166B86"/>
    <w:rsid w:val="001738EE"/>
    <w:rsid w:val="00174379"/>
    <w:rsid w:val="00181A26"/>
    <w:rsid w:val="00184326"/>
    <w:rsid w:val="00186241"/>
    <w:rsid w:val="00187606"/>
    <w:rsid w:val="00193454"/>
    <w:rsid w:val="00193CF5"/>
    <w:rsid w:val="00196AFD"/>
    <w:rsid w:val="00196FAB"/>
    <w:rsid w:val="001A20F5"/>
    <w:rsid w:val="001B0F60"/>
    <w:rsid w:val="001B33DD"/>
    <w:rsid w:val="001C0101"/>
    <w:rsid w:val="001C1539"/>
    <w:rsid w:val="001C416F"/>
    <w:rsid w:val="001D0234"/>
    <w:rsid w:val="001D351A"/>
    <w:rsid w:val="001D7F68"/>
    <w:rsid w:val="001E0A03"/>
    <w:rsid w:val="001E0A96"/>
    <w:rsid w:val="001E0CC4"/>
    <w:rsid w:val="001E0D97"/>
    <w:rsid w:val="001E1AD5"/>
    <w:rsid w:val="001E3177"/>
    <w:rsid w:val="001E4486"/>
    <w:rsid w:val="001E6E66"/>
    <w:rsid w:val="001F2464"/>
    <w:rsid w:val="001F644A"/>
    <w:rsid w:val="00200A71"/>
    <w:rsid w:val="00207245"/>
    <w:rsid w:val="00211F86"/>
    <w:rsid w:val="00212FCE"/>
    <w:rsid w:val="002139A9"/>
    <w:rsid w:val="0021746F"/>
    <w:rsid w:val="00220087"/>
    <w:rsid w:val="002279FA"/>
    <w:rsid w:val="00236A03"/>
    <w:rsid w:val="00237CB9"/>
    <w:rsid w:val="0024031D"/>
    <w:rsid w:val="00240996"/>
    <w:rsid w:val="00243B76"/>
    <w:rsid w:val="002456EB"/>
    <w:rsid w:val="00245964"/>
    <w:rsid w:val="002516D3"/>
    <w:rsid w:val="00254634"/>
    <w:rsid w:val="00255268"/>
    <w:rsid w:val="00261FC0"/>
    <w:rsid w:val="00263E97"/>
    <w:rsid w:val="00264724"/>
    <w:rsid w:val="002664DC"/>
    <w:rsid w:val="0027216E"/>
    <w:rsid w:val="00272E6B"/>
    <w:rsid w:val="0027306F"/>
    <w:rsid w:val="00275E3A"/>
    <w:rsid w:val="00276016"/>
    <w:rsid w:val="0028004E"/>
    <w:rsid w:val="00283896"/>
    <w:rsid w:val="002878CB"/>
    <w:rsid w:val="00287BA5"/>
    <w:rsid w:val="00291097"/>
    <w:rsid w:val="00291549"/>
    <w:rsid w:val="00293044"/>
    <w:rsid w:val="002969DD"/>
    <w:rsid w:val="00296A5E"/>
    <w:rsid w:val="00297AE2"/>
    <w:rsid w:val="002A2B6F"/>
    <w:rsid w:val="002A2D30"/>
    <w:rsid w:val="002A2D62"/>
    <w:rsid w:val="002A3A8B"/>
    <w:rsid w:val="002A4432"/>
    <w:rsid w:val="002A7091"/>
    <w:rsid w:val="002B21A8"/>
    <w:rsid w:val="002B2C58"/>
    <w:rsid w:val="002B7267"/>
    <w:rsid w:val="002B7E66"/>
    <w:rsid w:val="002C0990"/>
    <w:rsid w:val="002C1BC3"/>
    <w:rsid w:val="002C1F5E"/>
    <w:rsid w:val="002C55B5"/>
    <w:rsid w:val="002D0D82"/>
    <w:rsid w:val="002D1672"/>
    <w:rsid w:val="002D5C5F"/>
    <w:rsid w:val="002D5F8F"/>
    <w:rsid w:val="002E251A"/>
    <w:rsid w:val="002E3C86"/>
    <w:rsid w:val="002E539A"/>
    <w:rsid w:val="002E6A88"/>
    <w:rsid w:val="002F1B9A"/>
    <w:rsid w:val="002F2410"/>
    <w:rsid w:val="002F7AAF"/>
    <w:rsid w:val="00300CC0"/>
    <w:rsid w:val="00302FFC"/>
    <w:rsid w:val="00303C14"/>
    <w:rsid w:val="00304281"/>
    <w:rsid w:val="003054EA"/>
    <w:rsid w:val="00307DA8"/>
    <w:rsid w:val="00317B5A"/>
    <w:rsid w:val="00317F95"/>
    <w:rsid w:val="003231B5"/>
    <w:rsid w:val="003249FD"/>
    <w:rsid w:val="003310DD"/>
    <w:rsid w:val="00333E5D"/>
    <w:rsid w:val="00334668"/>
    <w:rsid w:val="00335AD6"/>
    <w:rsid w:val="0033767E"/>
    <w:rsid w:val="0033781D"/>
    <w:rsid w:val="0034081E"/>
    <w:rsid w:val="003429C2"/>
    <w:rsid w:val="00345032"/>
    <w:rsid w:val="00346DFB"/>
    <w:rsid w:val="0035055C"/>
    <w:rsid w:val="00351893"/>
    <w:rsid w:val="003523A5"/>
    <w:rsid w:val="00355129"/>
    <w:rsid w:val="003567F2"/>
    <w:rsid w:val="00356C63"/>
    <w:rsid w:val="00361254"/>
    <w:rsid w:val="00361C12"/>
    <w:rsid w:val="003623BE"/>
    <w:rsid w:val="00365275"/>
    <w:rsid w:val="00367D01"/>
    <w:rsid w:val="00367DAA"/>
    <w:rsid w:val="00371DA7"/>
    <w:rsid w:val="003723D8"/>
    <w:rsid w:val="00372D3D"/>
    <w:rsid w:val="003748A3"/>
    <w:rsid w:val="003748C7"/>
    <w:rsid w:val="0037537C"/>
    <w:rsid w:val="0037681A"/>
    <w:rsid w:val="00380AA2"/>
    <w:rsid w:val="00383E3E"/>
    <w:rsid w:val="00391F1F"/>
    <w:rsid w:val="003929DB"/>
    <w:rsid w:val="00393CB2"/>
    <w:rsid w:val="00394403"/>
    <w:rsid w:val="003A07CB"/>
    <w:rsid w:val="003A3D65"/>
    <w:rsid w:val="003A425F"/>
    <w:rsid w:val="003A4E7C"/>
    <w:rsid w:val="003A5741"/>
    <w:rsid w:val="003B0052"/>
    <w:rsid w:val="003B0F2D"/>
    <w:rsid w:val="003B1AEC"/>
    <w:rsid w:val="003B1AF8"/>
    <w:rsid w:val="003B1C3C"/>
    <w:rsid w:val="003B6320"/>
    <w:rsid w:val="003C0002"/>
    <w:rsid w:val="003C1860"/>
    <w:rsid w:val="003C2221"/>
    <w:rsid w:val="003C314E"/>
    <w:rsid w:val="003C4A5D"/>
    <w:rsid w:val="003C63F1"/>
    <w:rsid w:val="003C6B6E"/>
    <w:rsid w:val="003D1DC2"/>
    <w:rsid w:val="003D57B1"/>
    <w:rsid w:val="003E39DC"/>
    <w:rsid w:val="003E56BE"/>
    <w:rsid w:val="003E56FA"/>
    <w:rsid w:val="003E7783"/>
    <w:rsid w:val="003E7FC9"/>
    <w:rsid w:val="003F341A"/>
    <w:rsid w:val="003F41CD"/>
    <w:rsid w:val="003F5384"/>
    <w:rsid w:val="00400885"/>
    <w:rsid w:val="0040636C"/>
    <w:rsid w:val="004076AD"/>
    <w:rsid w:val="0041228E"/>
    <w:rsid w:val="00416B9D"/>
    <w:rsid w:val="00421560"/>
    <w:rsid w:val="00423BF8"/>
    <w:rsid w:val="004254C0"/>
    <w:rsid w:val="00430142"/>
    <w:rsid w:val="00430D7C"/>
    <w:rsid w:val="0043199F"/>
    <w:rsid w:val="00431E45"/>
    <w:rsid w:val="004345DD"/>
    <w:rsid w:val="00434DA8"/>
    <w:rsid w:val="00435742"/>
    <w:rsid w:val="00435B2A"/>
    <w:rsid w:val="0043646F"/>
    <w:rsid w:val="004375B5"/>
    <w:rsid w:val="004376BB"/>
    <w:rsid w:val="00440F90"/>
    <w:rsid w:val="00441F7C"/>
    <w:rsid w:val="00441F92"/>
    <w:rsid w:val="00441FC2"/>
    <w:rsid w:val="0044457E"/>
    <w:rsid w:val="00445EE9"/>
    <w:rsid w:val="00446EBB"/>
    <w:rsid w:val="004512F8"/>
    <w:rsid w:val="0045224E"/>
    <w:rsid w:val="00452A55"/>
    <w:rsid w:val="004600DC"/>
    <w:rsid w:val="00460393"/>
    <w:rsid w:val="004616B5"/>
    <w:rsid w:val="004619FC"/>
    <w:rsid w:val="00466370"/>
    <w:rsid w:val="00471589"/>
    <w:rsid w:val="004720E9"/>
    <w:rsid w:val="00473D09"/>
    <w:rsid w:val="004765CE"/>
    <w:rsid w:val="00477789"/>
    <w:rsid w:val="00484E1A"/>
    <w:rsid w:val="00485B45"/>
    <w:rsid w:val="004907C8"/>
    <w:rsid w:val="00491508"/>
    <w:rsid w:val="0049453E"/>
    <w:rsid w:val="004965C2"/>
    <w:rsid w:val="00496ABC"/>
    <w:rsid w:val="00497B70"/>
    <w:rsid w:val="004A14AE"/>
    <w:rsid w:val="004A3BF5"/>
    <w:rsid w:val="004A3F97"/>
    <w:rsid w:val="004A5244"/>
    <w:rsid w:val="004B0657"/>
    <w:rsid w:val="004B242E"/>
    <w:rsid w:val="004B3BD7"/>
    <w:rsid w:val="004C2908"/>
    <w:rsid w:val="004C5B5C"/>
    <w:rsid w:val="004C77C7"/>
    <w:rsid w:val="004D0000"/>
    <w:rsid w:val="004D109D"/>
    <w:rsid w:val="004D29F9"/>
    <w:rsid w:val="004D59CD"/>
    <w:rsid w:val="004D7DAF"/>
    <w:rsid w:val="004E01AF"/>
    <w:rsid w:val="004F3045"/>
    <w:rsid w:val="004F4744"/>
    <w:rsid w:val="004F5080"/>
    <w:rsid w:val="004F769E"/>
    <w:rsid w:val="004F7EF3"/>
    <w:rsid w:val="0050249A"/>
    <w:rsid w:val="00505814"/>
    <w:rsid w:val="00505FFA"/>
    <w:rsid w:val="00510400"/>
    <w:rsid w:val="00515821"/>
    <w:rsid w:val="00516B0F"/>
    <w:rsid w:val="005172EC"/>
    <w:rsid w:val="005217CF"/>
    <w:rsid w:val="00522489"/>
    <w:rsid w:val="005245B5"/>
    <w:rsid w:val="00524F48"/>
    <w:rsid w:val="005274DA"/>
    <w:rsid w:val="005302A4"/>
    <w:rsid w:val="00531A01"/>
    <w:rsid w:val="0053266D"/>
    <w:rsid w:val="005329F8"/>
    <w:rsid w:val="00532CD7"/>
    <w:rsid w:val="0054062C"/>
    <w:rsid w:val="005408F1"/>
    <w:rsid w:val="0054090A"/>
    <w:rsid w:val="005437BF"/>
    <w:rsid w:val="00543F3F"/>
    <w:rsid w:val="005512A9"/>
    <w:rsid w:val="00551DE5"/>
    <w:rsid w:val="005525C9"/>
    <w:rsid w:val="00553676"/>
    <w:rsid w:val="00556F5F"/>
    <w:rsid w:val="00564F94"/>
    <w:rsid w:val="00566027"/>
    <w:rsid w:val="0057167D"/>
    <w:rsid w:val="00574657"/>
    <w:rsid w:val="00574BA8"/>
    <w:rsid w:val="00576157"/>
    <w:rsid w:val="0057617F"/>
    <w:rsid w:val="00577F34"/>
    <w:rsid w:val="005802BE"/>
    <w:rsid w:val="0058148B"/>
    <w:rsid w:val="00581BC7"/>
    <w:rsid w:val="005836C7"/>
    <w:rsid w:val="005837D8"/>
    <w:rsid w:val="00584612"/>
    <w:rsid w:val="00586F0C"/>
    <w:rsid w:val="005875C1"/>
    <w:rsid w:val="00587BDE"/>
    <w:rsid w:val="00590239"/>
    <w:rsid w:val="00592BAE"/>
    <w:rsid w:val="00594F98"/>
    <w:rsid w:val="005953DB"/>
    <w:rsid w:val="005A1E1A"/>
    <w:rsid w:val="005A2738"/>
    <w:rsid w:val="005A50E8"/>
    <w:rsid w:val="005B0FE2"/>
    <w:rsid w:val="005B2230"/>
    <w:rsid w:val="005B2238"/>
    <w:rsid w:val="005B3E14"/>
    <w:rsid w:val="005B42DD"/>
    <w:rsid w:val="005B78FA"/>
    <w:rsid w:val="005B7F79"/>
    <w:rsid w:val="005C3F01"/>
    <w:rsid w:val="005D4C8C"/>
    <w:rsid w:val="005D5CA3"/>
    <w:rsid w:val="005D67E2"/>
    <w:rsid w:val="005D6B31"/>
    <w:rsid w:val="005E05EC"/>
    <w:rsid w:val="005E517A"/>
    <w:rsid w:val="005F0901"/>
    <w:rsid w:val="005F1D6A"/>
    <w:rsid w:val="005F1FC7"/>
    <w:rsid w:val="005F540A"/>
    <w:rsid w:val="005F585E"/>
    <w:rsid w:val="005F7191"/>
    <w:rsid w:val="00601E32"/>
    <w:rsid w:val="00601EE1"/>
    <w:rsid w:val="00605830"/>
    <w:rsid w:val="0060593F"/>
    <w:rsid w:val="00606E86"/>
    <w:rsid w:val="0062086E"/>
    <w:rsid w:val="006211AB"/>
    <w:rsid w:val="00623B43"/>
    <w:rsid w:val="00625D18"/>
    <w:rsid w:val="00626423"/>
    <w:rsid w:val="006265B7"/>
    <w:rsid w:val="00626875"/>
    <w:rsid w:val="006328BF"/>
    <w:rsid w:val="0064337A"/>
    <w:rsid w:val="00645C30"/>
    <w:rsid w:val="00646373"/>
    <w:rsid w:val="00646574"/>
    <w:rsid w:val="006470F7"/>
    <w:rsid w:val="006521C1"/>
    <w:rsid w:val="0065282D"/>
    <w:rsid w:val="006535B1"/>
    <w:rsid w:val="0065372D"/>
    <w:rsid w:val="00660A77"/>
    <w:rsid w:val="00662F70"/>
    <w:rsid w:val="006656BC"/>
    <w:rsid w:val="00666C77"/>
    <w:rsid w:val="00667BA2"/>
    <w:rsid w:val="0067041E"/>
    <w:rsid w:val="00674CD4"/>
    <w:rsid w:val="00674FBE"/>
    <w:rsid w:val="00675059"/>
    <w:rsid w:val="0068393A"/>
    <w:rsid w:val="00687780"/>
    <w:rsid w:val="0068799E"/>
    <w:rsid w:val="00690B44"/>
    <w:rsid w:val="00690E9E"/>
    <w:rsid w:val="00693774"/>
    <w:rsid w:val="00696406"/>
    <w:rsid w:val="00697893"/>
    <w:rsid w:val="006A0D10"/>
    <w:rsid w:val="006A1FAC"/>
    <w:rsid w:val="006A25C4"/>
    <w:rsid w:val="006A3C5F"/>
    <w:rsid w:val="006A7C3F"/>
    <w:rsid w:val="006B1114"/>
    <w:rsid w:val="006B35A3"/>
    <w:rsid w:val="006B5A3E"/>
    <w:rsid w:val="006C1DA4"/>
    <w:rsid w:val="006C2188"/>
    <w:rsid w:val="006C2665"/>
    <w:rsid w:val="006C5651"/>
    <w:rsid w:val="006D23B2"/>
    <w:rsid w:val="006D36BC"/>
    <w:rsid w:val="006D4EFA"/>
    <w:rsid w:val="006D5038"/>
    <w:rsid w:val="006D5E57"/>
    <w:rsid w:val="006D643D"/>
    <w:rsid w:val="006D6803"/>
    <w:rsid w:val="006D6D18"/>
    <w:rsid w:val="006D7FD8"/>
    <w:rsid w:val="006E2528"/>
    <w:rsid w:val="006E270F"/>
    <w:rsid w:val="006E38EA"/>
    <w:rsid w:val="006E718A"/>
    <w:rsid w:val="006F061E"/>
    <w:rsid w:val="006F42AB"/>
    <w:rsid w:val="006F449D"/>
    <w:rsid w:val="00700F4F"/>
    <w:rsid w:val="007012A9"/>
    <w:rsid w:val="007064DC"/>
    <w:rsid w:val="0070721C"/>
    <w:rsid w:val="007072A5"/>
    <w:rsid w:val="00707C57"/>
    <w:rsid w:val="00710B92"/>
    <w:rsid w:val="0071116B"/>
    <w:rsid w:val="00713794"/>
    <w:rsid w:val="007137C8"/>
    <w:rsid w:val="007150FC"/>
    <w:rsid w:val="00720409"/>
    <w:rsid w:val="007228E8"/>
    <w:rsid w:val="00722F29"/>
    <w:rsid w:val="00724E65"/>
    <w:rsid w:val="007264CD"/>
    <w:rsid w:val="007268D1"/>
    <w:rsid w:val="00730144"/>
    <w:rsid w:val="0073058F"/>
    <w:rsid w:val="00736B9A"/>
    <w:rsid w:val="00737042"/>
    <w:rsid w:val="007426A7"/>
    <w:rsid w:val="00742A9B"/>
    <w:rsid w:val="00744169"/>
    <w:rsid w:val="00746D2E"/>
    <w:rsid w:val="00747254"/>
    <w:rsid w:val="00750CA6"/>
    <w:rsid w:val="00751696"/>
    <w:rsid w:val="007524D6"/>
    <w:rsid w:val="00753213"/>
    <w:rsid w:val="00756283"/>
    <w:rsid w:val="007567BD"/>
    <w:rsid w:val="007600F5"/>
    <w:rsid w:val="00760532"/>
    <w:rsid w:val="00763892"/>
    <w:rsid w:val="00764B43"/>
    <w:rsid w:val="00774933"/>
    <w:rsid w:val="007773B4"/>
    <w:rsid w:val="00780780"/>
    <w:rsid w:val="00780F7F"/>
    <w:rsid w:val="0078184D"/>
    <w:rsid w:val="007836C9"/>
    <w:rsid w:val="00787C9F"/>
    <w:rsid w:val="00793BE4"/>
    <w:rsid w:val="00796BEF"/>
    <w:rsid w:val="007A477E"/>
    <w:rsid w:val="007A4DA3"/>
    <w:rsid w:val="007B168A"/>
    <w:rsid w:val="007C3BDD"/>
    <w:rsid w:val="007C3F67"/>
    <w:rsid w:val="007C5E66"/>
    <w:rsid w:val="007C6F62"/>
    <w:rsid w:val="007D5FCE"/>
    <w:rsid w:val="007D6022"/>
    <w:rsid w:val="007E309D"/>
    <w:rsid w:val="007E3180"/>
    <w:rsid w:val="007E335B"/>
    <w:rsid w:val="007E3D5C"/>
    <w:rsid w:val="007E5AAE"/>
    <w:rsid w:val="007E7B66"/>
    <w:rsid w:val="007F1D76"/>
    <w:rsid w:val="007F3BB1"/>
    <w:rsid w:val="007F5A18"/>
    <w:rsid w:val="00800BD9"/>
    <w:rsid w:val="00805BAB"/>
    <w:rsid w:val="00807D4D"/>
    <w:rsid w:val="00811662"/>
    <w:rsid w:val="00811DF3"/>
    <w:rsid w:val="00812CF4"/>
    <w:rsid w:val="00813E17"/>
    <w:rsid w:val="00814B5D"/>
    <w:rsid w:val="008174D5"/>
    <w:rsid w:val="00817C51"/>
    <w:rsid w:val="008210BE"/>
    <w:rsid w:val="00821FF1"/>
    <w:rsid w:val="00822FD5"/>
    <w:rsid w:val="008274D2"/>
    <w:rsid w:val="00830A80"/>
    <w:rsid w:val="00830BFB"/>
    <w:rsid w:val="008320D6"/>
    <w:rsid w:val="008323AF"/>
    <w:rsid w:val="008341D3"/>
    <w:rsid w:val="0083561C"/>
    <w:rsid w:val="008363BB"/>
    <w:rsid w:val="008379F2"/>
    <w:rsid w:val="008404EE"/>
    <w:rsid w:val="0084192C"/>
    <w:rsid w:val="00841D1E"/>
    <w:rsid w:val="008420A9"/>
    <w:rsid w:val="008430C8"/>
    <w:rsid w:val="00844D8D"/>
    <w:rsid w:val="00850AFD"/>
    <w:rsid w:val="00851F02"/>
    <w:rsid w:val="00852848"/>
    <w:rsid w:val="008533A9"/>
    <w:rsid w:val="00854CF2"/>
    <w:rsid w:val="0085581A"/>
    <w:rsid w:val="00856CE6"/>
    <w:rsid w:val="0086377E"/>
    <w:rsid w:val="0086643A"/>
    <w:rsid w:val="00870101"/>
    <w:rsid w:val="00871B99"/>
    <w:rsid w:val="00872FAE"/>
    <w:rsid w:val="00873A4C"/>
    <w:rsid w:val="00877AF0"/>
    <w:rsid w:val="00877B11"/>
    <w:rsid w:val="00877E37"/>
    <w:rsid w:val="0088119D"/>
    <w:rsid w:val="0088716A"/>
    <w:rsid w:val="00894BB9"/>
    <w:rsid w:val="0089733D"/>
    <w:rsid w:val="008A75BA"/>
    <w:rsid w:val="008B10DA"/>
    <w:rsid w:val="008B5320"/>
    <w:rsid w:val="008B769D"/>
    <w:rsid w:val="008C0A5C"/>
    <w:rsid w:val="008C3838"/>
    <w:rsid w:val="008C5191"/>
    <w:rsid w:val="008C5891"/>
    <w:rsid w:val="008C6254"/>
    <w:rsid w:val="008C7586"/>
    <w:rsid w:val="008D0556"/>
    <w:rsid w:val="008D1D03"/>
    <w:rsid w:val="008D26F6"/>
    <w:rsid w:val="008D28C0"/>
    <w:rsid w:val="008D636D"/>
    <w:rsid w:val="008D6598"/>
    <w:rsid w:val="008D6E93"/>
    <w:rsid w:val="008E05C9"/>
    <w:rsid w:val="008E2B7C"/>
    <w:rsid w:val="008E3951"/>
    <w:rsid w:val="008E7B90"/>
    <w:rsid w:val="008F0751"/>
    <w:rsid w:val="008F46F5"/>
    <w:rsid w:val="008F510A"/>
    <w:rsid w:val="00900B9D"/>
    <w:rsid w:val="00901827"/>
    <w:rsid w:val="00902962"/>
    <w:rsid w:val="0091254E"/>
    <w:rsid w:val="00912A66"/>
    <w:rsid w:val="009211C1"/>
    <w:rsid w:val="00922E24"/>
    <w:rsid w:val="00923D73"/>
    <w:rsid w:val="00924075"/>
    <w:rsid w:val="00924F3F"/>
    <w:rsid w:val="00925E22"/>
    <w:rsid w:val="00930990"/>
    <w:rsid w:val="009313C9"/>
    <w:rsid w:val="009321DB"/>
    <w:rsid w:val="009372CB"/>
    <w:rsid w:val="00941C89"/>
    <w:rsid w:val="009430D4"/>
    <w:rsid w:val="00944B28"/>
    <w:rsid w:val="00945011"/>
    <w:rsid w:val="00945989"/>
    <w:rsid w:val="00947855"/>
    <w:rsid w:val="009525B3"/>
    <w:rsid w:val="009531B8"/>
    <w:rsid w:val="00953F46"/>
    <w:rsid w:val="00954A37"/>
    <w:rsid w:val="00956C76"/>
    <w:rsid w:val="00956EE6"/>
    <w:rsid w:val="009578F0"/>
    <w:rsid w:val="00957BC4"/>
    <w:rsid w:val="00960BAC"/>
    <w:rsid w:val="009615E0"/>
    <w:rsid w:val="00963779"/>
    <w:rsid w:val="00966BB4"/>
    <w:rsid w:val="00967935"/>
    <w:rsid w:val="009705A1"/>
    <w:rsid w:val="009765E4"/>
    <w:rsid w:val="00977EC1"/>
    <w:rsid w:val="00981A64"/>
    <w:rsid w:val="00981ABF"/>
    <w:rsid w:val="00982360"/>
    <w:rsid w:val="00982523"/>
    <w:rsid w:val="009825E1"/>
    <w:rsid w:val="0098575C"/>
    <w:rsid w:val="00987592"/>
    <w:rsid w:val="00996D3A"/>
    <w:rsid w:val="00997680"/>
    <w:rsid w:val="009A018F"/>
    <w:rsid w:val="009A01FC"/>
    <w:rsid w:val="009A15F5"/>
    <w:rsid w:val="009A327E"/>
    <w:rsid w:val="009A5415"/>
    <w:rsid w:val="009B278A"/>
    <w:rsid w:val="009B468D"/>
    <w:rsid w:val="009B4839"/>
    <w:rsid w:val="009B4A12"/>
    <w:rsid w:val="009B4C8C"/>
    <w:rsid w:val="009B73A7"/>
    <w:rsid w:val="009B752C"/>
    <w:rsid w:val="009B782D"/>
    <w:rsid w:val="009C1EF6"/>
    <w:rsid w:val="009C581B"/>
    <w:rsid w:val="009C7AB8"/>
    <w:rsid w:val="009D2C99"/>
    <w:rsid w:val="009E1206"/>
    <w:rsid w:val="009E128E"/>
    <w:rsid w:val="009E3B3F"/>
    <w:rsid w:val="009E4FD2"/>
    <w:rsid w:val="009F21F6"/>
    <w:rsid w:val="009F2205"/>
    <w:rsid w:val="009F7456"/>
    <w:rsid w:val="00A01810"/>
    <w:rsid w:val="00A020A8"/>
    <w:rsid w:val="00A03F84"/>
    <w:rsid w:val="00A0691F"/>
    <w:rsid w:val="00A11124"/>
    <w:rsid w:val="00A14A46"/>
    <w:rsid w:val="00A14F0E"/>
    <w:rsid w:val="00A15E24"/>
    <w:rsid w:val="00A232A3"/>
    <w:rsid w:val="00A233BA"/>
    <w:rsid w:val="00A24FC1"/>
    <w:rsid w:val="00A252D0"/>
    <w:rsid w:val="00A256A4"/>
    <w:rsid w:val="00A264A8"/>
    <w:rsid w:val="00A27634"/>
    <w:rsid w:val="00A31355"/>
    <w:rsid w:val="00A314B0"/>
    <w:rsid w:val="00A31F5F"/>
    <w:rsid w:val="00A41CF0"/>
    <w:rsid w:val="00A4496E"/>
    <w:rsid w:val="00A4590E"/>
    <w:rsid w:val="00A45CF4"/>
    <w:rsid w:val="00A47EEF"/>
    <w:rsid w:val="00A54659"/>
    <w:rsid w:val="00A546D3"/>
    <w:rsid w:val="00A54826"/>
    <w:rsid w:val="00A557EE"/>
    <w:rsid w:val="00A55FEA"/>
    <w:rsid w:val="00A570F4"/>
    <w:rsid w:val="00A62A75"/>
    <w:rsid w:val="00A6305D"/>
    <w:rsid w:val="00A63FD6"/>
    <w:rsid w:val="00A6489E"/>
    <w:rsid w:val="00A67444"/>
    <w:rsid w:val="00A71CE2"/>
    <w:rsid w:val="00A7390C"/>
    <w:rsid w:val="00A76503"/>
    <w:rsid w:val="00A84592"/>
    <w:rsid w:val="00A902F5"/>
    <w:rsid w:val="00A95DF7"/>
    <w:rsid w:val="00A96D3A"/>
    <w:rsid w:val="00A96D7F"/>
    <w:rsid w:val="00A979C2"/>
    <w:rsid w:val="00A97F6E"/>
    <w:rsid w:val="00AA15D1"/>
    <w:rsid w:val="00AA4D3A"/>
    <w:rsid w:val="00AA6907"/>
    <w:rsid w:val="00AB0E4F"/>
    <w:rsid w:val="00AB301A"/>
    <w:rsid w:val="00AB640A"/>
    <w:rsid w:val="00AC4319"/>
    <w:rsid w:val="00AC456D"/>
    <w:rsid w:val="00AC61B9"/>
    <w:rsid w:val="00AC7B50"/>
    <w:rsid w:val="00AC7E2A"/>
    <w:rsid w:val="00AD1FED"/>
    <w:rsid w:val="00AD3739"/>
    <w:rsid w:val="00AD5ECE"/>
    <w:rsid w:val="00AD6490"/>
    <w:rsid w:val="00AD7607"/>
    <w:rsid w:val="00AE15CB"/>
    <w:rsid w:val="00AE543B"/>
    <w:rsid w:val="00AE6A54"/>
    <w:rsid w:val="00AF3C99"/>
    <w:rsid w:val="00AF3FBE"/>
    <w:rsid w:val="00AF7324"/>
    <w:rsid w:val="00AF7CA3"/>
    <w:rsid w:val="00B011A7"/>
    <w:rsid w:val="00B01A05"/>
    <w:rsid w:val="00B03EF4"/>
    <w:rsid w:val="00B040DA"/>
    <w:rsid w:val="00B056A9"/>
    <w:rsid w:val="00B05AB4"/>
    <w:rsid w:val="00B0779B"/>
    <w:rsid w:val="00B07FB6"/>
    <w:rsid w:val="00B10BB9"/>
    <w:rsid w:val="00B13A3E"/>
    <w:rsid w:val="00B171F1"/>
    <w:rsid w:val="00B175CC"/>
    <w:rsid w:val="00B17AFF"/>
    <w:rsid w:val="00B20C9A"/>
    <w:rsid w:val="00B215D5"/>
    <w:rsid w:val="00B2272C"/>
    <w:rsid w:val="00B22EFB"/>
    <w:rsid w:val="00B23686"/>
    <w:rsid w:val="00B241C7"/>
    <w:rsid w:val="00B24937"/>
    <w:rsid w:val="00B27D93"/>
    <w:rsid w:val="00B32046"/>
    <w:rsid w:val="00B33239"/>
    <w:rsid w:val="00B33D38"/>
    <w:rsid w:val="00B36A81"/>
    <w:rsid w:val="00B3791E"/>
    <w:rsid w:val="00B408FE"/>
    <w:rsid w:val="00B42363"/>
    <w:rsid w:val="00B42A01"/>
    <w:rsid w:val="00B441F3"/>
    <w:rsid w:val="00B457E3"/>
    <w:rsid w:val="00B516ED"/>
    <w:rsid w:val="00B53556"/>
    <w:rsid w:val="00B60430"/>
    <w:rsid w:val="00B64917"/>
    <w:rsid w:val="00B6536D"/>
    <w:rsid w:val="00B66DBD"/>
    <w:rsid w:val="00B673C0"/>
    <w:rsid w:val="00B67489"/>
    <w:rsid w:val="00B71383"/>
    <w:rsid w:val="00B71856"/>
    <w:rsid w:val="00B73678"/>
    <w:rsid w:val="00B73929"/>
    <w:rsid w:val="00B74F1A"/>
    <w:rsid w:val="00B767BF"/>
    <w:rsid w:val="00B80B66"/>
    <w:rsid w:val="00B871FA"/>
    <w:rsid w:val="00B87925"/>
    <w:rsid w:val="00B930C5"/>
    <w:rsid w:val="00B9334C"/>
    <w:rsid w:val="00B95713"/>
    <w:rsid w:val="00B967CA"/>
    <w:rsid w:val="00BA104C"/>
    <w:rsid w:val="00BA16FC"/>
    <w:rsid w:val="00BA1FED"/>
    <w:rsid w:val="00BA26E5"/>
    <w:rsid w:val="00BA777E"/>
    <w:rsid w:val="00BB060B"/>
    <w:rsid w:val="00BB199A"/>
    <w:rsid w:val="00BB39DA"/>
    <w:rsid w:val="00BC350D"/>
    <w:rsid w:val="00BC3DF4"/>
    <w:rsid w:val="00BC4EB7"/>
    <w:rsid w:val="00BC6749"/>
    <w:rsid w:val="00BD1A14"/>
    <w:rsid w:val="00BD2FC6"/>
    <w:rsid w:val="00BD3702"/>
    <w:rsid w:val="00BD3D52"/>
    <w:rsid w:val="00BD42C7"/>
    <w:rsid w:val="00BD4B9C"/>
    <w:rsid w:val="00BD4D7B"/>
    <w:rsid w:val="00BE37F3"/>
    <w:rsid w:val="00BE3EF9"/>
    <w:rsid w:val="00BE4BD1"/>
    <w:rsid w:val="00BE75E8"/>
    <w:rsid w:val="00BF0E80"/>
    <w:rsid w:val="00BF1960"/>
    <w:rsid w:val="00C01358"/>
    <w:rsid w:val="00C0209B"/>
    <w:rsid w:val="00C04F16"/>
    <w:rsid w:val="00C05832"/>
    <w:rsid w:val="00C062A4"/>
    <w:rsid w:val="00C07BBB"/>
    <w:rsid w:val="00C149DD"/>
    <w:rsid w:val="00C174E1"/>
    <w:rsid w:val="00C30DCA"/>
    <w:rsid w:val="00C310DF"/>
    <w:rsid w:val="00C34A90"/>
    <w:rsid w:val="00C35309"/>
    <w:rsid w:val="00C355F3"/>
    <w:rsid w:val="00C376D3"/>
    <w:rsid w:val="00C41E16"/>
    <w:rsid w:val="00C42FBF"/>
    <w:rsid w:val="00C43141"/>
    <w:rsid w:val="00C43E00"/>
    <w:rsid w:val="00C52150"/>
    <w:rsid w:val="00C53C16"/>
    <w:rsid w:val="00C53C42"/>
    <w:rsid w:val="00C54F34"/>
    <w:rsid w:val="00C56D1F"/>
    <w:rsid w:val="00C56FB6"/>
    <w:rsid w:val="00C603D0"/>
    <w:rsid w:val="00C60EFE"/>
    <w:rsid w:val="00C60FBC"/>
    <w:rsid w:val="00C61FE6"/>
    <w:rsid w:val="00C62627"/>
    <w:rsid w:val="00C6698C"/>
    <w:rsid w:val="00C67689"/>
    <w:rsid w:val="00C80560"/>
    <w:rsid w:val="00C8100F"/>
    <w:rsid w:val="00C8183E"/>
    <w:rsid w:val="00C82007"/>
    <w:rsid w:val="00C84EB1"/>
    <w:rsid w:val="00C86E1D"/>
    <w:rsid w:val="00C90655"/>
    <w:rsid w:val="00C91017"/>
    <w:rsid w:val="00C96E9C"/>
    <w:rsid w:val="00C9718C"/>
    <w:rsid w:val="00CA1255"/>
    <w:rsid w:val="00CA16BF"/>
    <w:rsid w:val="00CA1B16"/>
    <w:rsid w:val="00CA2556"/>
    <w:rsid w:val="00CA3E6B"/>
    <w:rsid w:val="00CA5C5C"/>
    <w:rsid w:val="00CA5E24"/>
    <w:rsid w:val="00CA7248"/>
    <w:rsid w:val="00CB0763"/>
    <w:rsid w:val="00CB12C3"/>
    <w:rsid w:val="00CB2C26"/>
    <w:rsid w:val="00CB3820"/>
    <w:rsid w:val="00CB6F31"/>
    <w:rsid w:val="00CC0174"/>
    <w:rsid w:val="00CC1BC3"/>
    <w:rsid w:val="00CC25F9"/>
    <w:rsid w:val="00CC2D0B"/>
    <w:rsid w:val="00CC4A26"/>
    <w:rsid w:val="00CC4CCC"/>
    <w:rsid w:val="00CC797D"/>
    <w:rsid w:val="00CC7D1D"/>
    <w:rsid w:val="00CD0324"/>
    <w:rsid w:val="00CD306D"/>
    <w:rsid w:val="00CD67B5"/>
    <w:rsid w:val="00CD73E7"/>
    <w:rsid w:val="00CE2A6F"/>
    <w:rsid w:val="00CE562D"/>
    <w:rsid w:val="00CE69E4"/>
    <w:rsid w:val="00CE7F17"/>
    <w:rsid w:val="00CF0C23"/>
    <w:rsid w:val="00CF2971"/>
    <w:rsid w:val="00CF2BA2"/>
    <w:rsid w:val="00CF448C"/>
    <w:rsid w:val="00CF6682"/>
    <w:rsid w:val="00D000BB"/>
    <w:rsid w:val="00D02AB7"/>
    <w:rsid w:val="00D05BDE"/>
    <w:rsid w:val="00D05DEA"/>
    <w:rsid w:val="00D13B7E"/>
    <w:rsid w:val="00D1668A"/>
    <w:rsid w:val="00D167F3"/>
    <w:rsid w:val="00D21D28"/>
    <w:rsid w:val="00D247A8"/>
    <w:rsid w:val="00D25C64"/>
    <w:rsid w:val="00D26CD7"/>
    <w:rsid w:val="00D316C8"/>
    <w:rsid w:val="00D33837"/>
    <w:rsid w:val="00D3385A"/>
    <w:rsid w:val="00D346D0"/>
    <w:rsid w:val="00D35799"/>
    <w:rsid w:val="00D40CA9"/>
    <w:rsid w:val="00D45E98"/>
    <w:rsid w:val="00D46C51"/>
    <w:rsid w:val="00D5422F"/>
    <w:rsid w:val="00D57041"/>
    <w:rsid w:val="00D63716"/>
    <w:rsid w:val="00D65FDF"/>
    <w:rsid w:val="00D6768E"/>
    <w:rsid w:val="00D71FBC"/>
    <w:rsid w:val="00D72893"/>
    <w:rsid w:val="00D729E7"/>
    <w:rsid w:val="00D74A59"/>
    <w:rsid w:val="00D75DEE"/>
    <w:rsid w:val="00D842CC"/>
    <w:rsid w:val="00D86B98"/>
    <w:rsid w:val="00D87344"/>
    <w:rsid w:val="00D91BF4"/>
    <w:rsid w:val="00D93561"/>
    <w:rsid w:val="00D97793"/>
    <w:rsid w:val="00DA1B6D"/>
    <w:rsid w:val="00DA3971"/>
    <w:rsid w:val="00DA6531"/>
    <w:rsid w:val="00DB1465"/>
    <w:rsid w:val="00DB470D"/>
    <w:rsid w:val="00DB6C8A"/>
    <w:rsid w:val="00DB744D"/>
    <w:rsid w:val="00DC0FC1"/>
    <w:rsid w:val="00DC204D"/>
    <w:rsid w:val="00DC63BB"/>
    <w:rsid w:val="00DC653E"/>
    <w:rsid w:val="00DC72B3"/>
    <w:rsid w:val="00DD3BAB"/>
    <w:rsid w:val="00DD590C"/>
    <w:rsid w:val="00DE0C16"/>
    <w:rsid w:val="00DE11E6"/>
    <w:rsid w:val="00DE1468"/>
    <w:rsid w:val="00DE3231"/>
    <w:rsid w:val="00DE5081"/>
    <w:rsid w:val="00DF5781"/>
    <w:rsid w:val="00E010A7"/>
    <w:rsid w:val="00E01357"/>
    <w:rsid w:val="00E1033E"/>
    <w:rsid w:val="00E11BD4"/>
    <w:rsid w:val="00E1225B"/>
    <w:rsid w:val="00E14D55"/>
    <w:rsid w:val="00E1695D"/>
    <w:rsid w:val="00E16AAC"/>
    <w:rsid w:val="00E17497"/>
    <w:rsid w:val="00E201F1"/>
    <w:rsid w:val="00E2098E"/>
    <w:rsid w:val="00E325B4"/>
    <w:rsid w:val="00E35A6F"/>
    <w:rsid w:val="00E360E3"/>
    <w:rsid w:val="00E407A5"/>
    <w:rsid w:val="00E42209"/>
    <w:rsid w:val="00E422E2"/>
    <w:rsid w:val="00E442BC"/>
    <w:rsid w:val="00E45BE4"/>
    <w:rsid w:val="00E460B9"/>
    <w:rsid w:val="00E46A22"/>
    <w:rsid w:val="00E519E7"/>
    <w:rsid w:val="00E55726"/>
    <w:rsid w:val="00E55A60"/>
    <w:rsid w:val="00E60743"/>
    <w:rsid w:val="00E609A9"/>
    <w:rsid w:val="00E60B1E"/>
    <w:rsid w:val="00E60CC3"/>
    <w:rsid w:val="00E70AC4"/>
    <w:rsid w:val="00E71070"/>
    <w:rsid w:val="00E71B0F"/>
    <w:rsid w:val="00E73C1B"/>
    <w:rsid w:val="00E74443"/>
    <w:rsid w:val="00E74E9A"/>
    <w:rsid w:val="00E82051"/>
    <w:rsid w:val="00E832A0"/>
    <w:rsid w:val="00E84E69"/>
    <w:rsid w:val="00E87786"/>
    <w:rsid w:val="00E93FBB"/>
    <w:rsid w:val="00E9408F"/>
    <w:rsid w:val="00E9453A"/>
    <w:rsid w:val="00E96B25"/>
    <w:rsid w:val="00E96D54"/>
    <w:rsid w:val="00EA02D7"/>
    <w:rsid w:val="00EA43AB"/>
    <w:rsid w:val="00EA6153"/>
    <w:rsid w:val="00EA648C"/>
    <w:rsid w:val="00EB076E"/>
    <w:rsid w:val="00EB0857"/>
    <w:rsid w:val="00EC0237"/>
    <w:rsid w:val="00EC1D86"/>
    <w:rsid w:val="00EC2888"/>
    <w:rsid w:val="00EC364D"/>
    <w:rsid w:val="00EC3FE3"/>
    <w:rsid w:val="00EC4CF7"/>
    <w:rsid w:val="00EC4E3B"/>
    <w:rsid w:val="00EC681D"/>
    <w:rsid w:val="00ED0E17"/>
    <w:rsid w:val="00ED38C2"/>
    <w:rsid w:val="00ED4FAF"/>
    <w:rsid w:val="00EE05B6"/>
    <w:rsid w:val="00EE158D"/>
    <w:rsid w:val="00EE1C23"/>
    <w:rsid w:val="00EF55BE"/>
    <w:rsid w:val="00EF774A"/>
    <w:rsid w:val="00F0199E"/>
    <w:rsid w:val="00F051D3"/>
    <w:rsid w:val="00F0574F"/>
    <w:rsid w:val="00F07CCC"/>
    <w:rsid w:val="00F07D1C"/>
    <w:rsid w:val="00F12680"/>
    <w:rsid w:val="00F14521"/>
    <w:rsid w:val="00F14A25"/>
    <w:rsid w:val="00F15212"/>
    <w:rsid w:val="00F17F4E"/>
    <w:rsid w:val="00F22E53"/>
    <w:rsid w:val="00F26B7C"/>
    <w:rsid w:val="00F344EE"/>
    <w:rsid w:val="00F35740"/>
    <w:rsid w:val="00F4058B"/>
    <w:rsid w:val="00F420C3"/>
    <w:rsid w:val="00F43AB0"/>
    <w:rsid w:val="00F452B7"/>
    <w:rsid w:val="00F4715B"/>
    <w:rsid w:val="00F52A05"/>
    <w:rsid w:val="00F5406E"/>
    <w:rsid w:val="00F56861"/>
    <w:rsid w:val="00F60A4A"/>
    <w:rsid w:val="00F6302B"/>
    <w:rsid w:val="00F64CE1"/>
    <w:rsid w:val="00F66180"/>
    <w:rsid w:val="00F67F0D"/>
    <w:rsid w:val="00F71D9E"/>
    <w:rsid w:val="00F72FCB"/>
    <w:rsid w:val="00F77D08"/>
    <w:rsid w:val="00F81EE5"/>
    <w:rsid w:val="00F82A4B"/>
    <w:rsid w:val="00F87779"/>
    <w:rsid w:val="00F90FB5"/>
    <w:rsid w:val="00F93098"/>
    <w:rsid w:val="00F93989"/>
    <w:rsid w:val="00F94CC1"/>
    <w:rsid w:val="00FA1F22"/>
    <w:rsid w:val="00FA55EC"/>
    <w:rsid w:val="00FA58DE"/>
    <w:rsid w:val="00FB5A00"/>
    <w:rsid w:val="00FB5C1D"/>
    <w:rsid w:val="00FB7F2A"/>
    <w:rsid w:val="00FC23F2"/>
    <w:rsid w:val="00FC4A1D"/>
    <w:rsid w:val="00FC4F1E"/>
    <w:rsid w:val="00FC7691"/>
    <w:rsid w:val="00FC7749"/>
    <w:rsid w:val="00FD0870"/>
    <w:rsid w:val="00FD14DA"/>
    <w:rsid w:val="00FD15D3"/>
    <w:rsid w:val="00FD29D8"/>
    <w:rsid w:val="00FD5A9F"/>
    <w:rsid w:val="00FD69F5"/>
    <w:rsid w:val="00FD7624"/>
    <w:rsid w:val="00FE0167"/>
    <w:rsid w:val="00FE2312"/>
    <w:rsid w:val="00FE4559"/>
    <w:rsid w:val="00FE48AF"/>
    <w:rsid w:val="00FE58AE"/>
    <w:rsid w:val="00FE718F"/>
    <w:rsid w:val="00FF2A17"/>
    <w:rsid w:val="00FF6ED8"/>
    <w:rsid w:val="00FF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9ABAA54"/>
  <w15:docId w15:val="{52DB67B9-08DA-463E-A7E6-E8145E7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6C7"/>
  </w:style>
  <w:style w:type="paragraph" w:styleId="Heading1">
    <w:name w:val="heading 1"/>
    <w:basedOn w:val="Normal"/>
    <w:next w:val="Normal"/>
    <w:qFormat/>
    <w:rsid w:val="005836C7"/>
    <w:pPr>
      <w:keepNext/>
      <w:outlineLvl w:val="0"/>
    </w:pPr>
    <w:rPr>
      <w:b/>
      <w:sz w:val="36"/>
    </w:rPr>
  </w:style>
  <w:style w:type="paragraph" w:styleId="Heading2">
    <w:name w:val="heading 2"/>
    <w:basedOn w:val="Normal"/>
    <w:next w:val="Normal"/>
    <w:qFormat/>
    <w:rsid w:val="005836C7"/>
    <w:pPr>
      <w:keepNext/>
      <w:outlineLvl w:val="1"/>
    </w:pPr>
    <w:rPr>
      <w:sz w:val="32"/>
    </w:rPr>
  </w:style>
  <w:style w:type="paragraph" w:styleId="Heading3">
    <w:name w:val="heading 3"/>
    <w:basedOn w:val="Normal"/>
    <w:next w:val="Normal"/>
    <w:link w:val="Heading3Char"/>
    <w:qFormat/>
    <w:rsid w:val="005836C7"/>
    <w:pPr>
      <w:keepNext/>
      <w:ind w:left="-540"/>
      <w:outlineLvl w:val="2"/>
    </w:pPr>
    <w:rPr>
      <w:b/>
    </w:rPr>
  </w:style>
  <w:style w:type="paragraph" w:styleId="Heading4">
    <w:name w:val="heading 4"/>
    <w:basedOn w:val="Normal"/>
    <w:next w:val="Normal"/>
    <w:qFormat/>
    <w:rsid w:val="005836C7"/>
    <w:pPr>
      <w:keepNext/>
      <w:ind w:left="-540" w:right="-540"/>
      <w:outlineLvl w:val="3"/>
    </w:pPr>
    <w:rPr>
      <w:b/>
      <w:sz w:val="24"/>
    </w:rPr>
  </w:style>
  <w:style w:type="paragraph" w:styleId="Heading5">
    <w:name w:val="heading 5"/>
    <w:basedOn w:val="Normal"/>
    <w:next w:val="Normal"/>
    <w:qFormat/>
    <w:rsid w:val="005836C7"/>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5836C7"/>
  </w:style>
  <w:style w:type="paragraph" w:styleId="Footer">
    <w:name w:val="footer"/>
    <w:basedOn w:val="Normal"/>
    <w:rsid w:val="00981A64"/>
    <w:pPr>
      <w:tabs>
        <w:tab w:val="center" w:pos="4320"/>
        <w:tab w:val="right" w:pos="8640"/>
      </w:tabs>
    </w:pPr>
  </w:style>
  <w:style w:type="character" w:styleId="PageNumber">
    <w:name w:val="page number"/>
    <w:basedOn w:val="DefaultParagraphFont"/>
    <w:rsid w:val="00981A64"/>
  </w:style>
  <w:style w:type="paragraph" w:styleId="Header">
    <w:name w:val="header"/>
    <w:basedOn w:val="Normal"/>
    <w:rsid w:val="00981A64"/>
    <w:pPr>
      <w:tabs>
        <w:tab w:val="center" w:pos="4320"/>
        <w:tab w:val="right" w:pos="8640"/>
      </w:tabs>
    </w:pPr>
  </w:style>
  <w:style w:type="character" w:styleId="Hyperlink">
    <w:name w:val="Hyperlink"/>
    <w:rsid w:val="00830BFB"/>
    <w:rPr>
      <w:color w:val="0000FF"/>
      <w:u w:val="single"/>
    </w:rPr>
  </w:style>
  <w:style w:type="paragraph" w:styleId="BalloonText">
    <w:name w:val="Balloon Text"/>
    <w:basedOn w:val="Normal"/>
    <w:link w:val="BalloonTextChar"/>
    <w:rsid w:val="00DE3231"/>
    <w:rPr>
      <w:rFonts w:ascii="Tahoma" w:hAnsi="Tahoma"/>
      <w:sz w:val="16"/>
      <w:szCs w:val="16"/>
    </w:rPr>
  </w:style>
  <w:style w:type="character" w:customStyle="1" w:styleId="BalloonTextChar">
    <w:name w:val="Balloon Text Char"/>
    <w:link w:val="BalloonText"/>
    <w:rsid w:val="00DE3231"/>
    <w:rPr>
      <w:rFonts w:ascii="Tahoma" w:hAnsi="Tahoma" w:cs="Tahoma"/>
      <w:sz w:val="16"/>
      <w:szCs w:val="16"/>
    </w:rPr>
  </w:style>
  <w:style w:type="table" w:styleId="TableGrid">
    <w:name w:val="Table Grid"/>
    <w:basedOn w:val="TableNormal"/>
    <w:uiPriority w:val="99"/>
    <w:rsid w:val="00067F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3249FD"/>
    <w:pPr>
      <w:widowControl w:val="0"/>
    </w:pPr>
    <w:rPr>
      <w:sz w:val="24"/>
    </w:rPr>
  </w:style>
  <w:style w:type="paragraph" w:customStyle="1" w:styleId="Level2">
    <w:name w:val="Level 2"/>
    <w:basedOn w:val="Normal"/>
    <w:rsid w:val="003249FD"/>
    <w:pPr>
      <w:widowControl w:val="0"/>
    </w:pPr>
    <w:rPr>
      <w:sz w:val="24"/>
    </w:rPr>
  </w:style>
  <w:style w:type="character" w:styleId="FollowedHyperlink">
    <w:name w:val="FollowedHyperlink"/>
    <w:rsid w:val="00AE15CB"/>
    <w:rPr>
      <w:color w:val="800080"/>
      <w:u w:val="single"/>
    </w:rPr>
  </w:style>
  <w:style w:type="numbering" w:customStyle="1" w:styleId="Style1">
    <w:name w:val="Style1"/>
    <w:rsid w:val="006B5A3E"/>
    <w:pPr>
      <w:numPr>
        <w:numId w:val="2"/>
      </w:numPr>
    </w:pPr>
  </w:style>
  <w:style w:type="paragraph" w:styleId="ListParagraph">
    <w:name w:val="List Paragraph"/>
    <w:basedOn w:val="Normal"/>
    <w:uiPriority w:val="34"/>
    <w:qFormat/>
    <w:rsid w:val="00174379"/>
    <w:pPr>
      <w:ind w:left="720"/>
      <w:contextualSpacing/>
    </w:pPr>
  </w:style>
  <w:style w:type="character" w:styleId="LineNumber">
    <w:name w:val="line number"/>
    <w:basedOn w:val="DefaultParagraphFont"/>
    <w:rsid w:val="00D316C8"/>
  </w:style>
  <w:style w:type="character" w:customStyle="1" w:styleId="Heading3Char">
    <w:name w:val="Heading 3 Char"/>
    <w:basedOn w:val="DefaultParagraphFont"/>
    <w:link w:val="Heading3"/>
    <w:rsid w:val="0010333B"/>
    <w:rPr>
      <w:b/>
    </w:rPr>
  </w:style>
  <w:style w:type="character" w:styleId="UnresolvedMention">
    <w:name w:val="Unresolved Mention"/>
    <w:basedOn w:val="DefaultParagraphFont"/>
    <w:uiPriority w:val="99"/>
    <w:semiHidden/>
    <w:unhideWhenUsed/>
    <w:rsid w:val="00726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671">
      <w:bodyDiv w:val="1"/>
      <w:marLeft w:val="0"/>
      <w:marRight w:val="0"/>
      <w:marTop w:val="0"/>
      <w:marBottom w:val="0"/>
      <w:divBdr>
        <w:top w:val="none" w:sz="0" w:space="0" w:color="auto"/>
        <w:left w:val="none" w:sz="0" w:space="0" w:color="auto"/>
        <w:bottom w:val="none" w:sz="0" w:space="0" w:color="auto"/>
        <w:right w:val="none" w:sz="0" w:space="0" w:color="auto"/>
      </w:divBdr>
    </w:div>
    <w:div w:id="125392239">
      <w:bodyDiv w:val="1"/>
      <w:marLeft w:val="0"/>
      <w:marRight w:val="0"/>
      <w:marTop w:val="0"/>
      <w:marBottom w:val="0"/>
      <w:divBdr>
        <w:top w:val="none" w:sz="0" w:space="0" w:color="auto"/>
        <w:left w:val="none" w:sz="0" w:space="0" w:color="auto"/>
        <w:bottom w:val="none" w:sz="0" w:space="0" w:color="auto"/>
        <w:right w:val="none" w:sz="0" w:space="0" w:color="auto"/>
      </w:divBdr>
    </w:div>
    <w:div w:id="147405577">
      <w:bodyDiv w:val="1"/>
      <w:marLeft w:val="0"/>
      <w:marRight w:val="0"/>
      <w:marTop w:val="0"/>
      <w:marBottom w:val="0"/>
      <w:divBdr>
        <w:top w:val="none" w:sz="0" w:space="0" w:color="auto"/>
        <w:left w:val="none" w:sz="0" w:space="0" w:color="auto"/>
        <w:bottom w:val="none" w:sz="0" w:space="0" w:color="auto"/>
        <w:right w:val="none" w:sz="0" w:space="0" w:color="auto"/>
      </w:divBdr>
    </w:div>
    <w:div w:id="175656556">
      <w:bodyDiv w:val="1"/>
      <w:marLeft w:val="0"/>
      <w:marRight w:val="0"/>
      <w:marTop w:val="0"/>
      <w:marBottom w:val="0"/>
      <w:divBdr>
        <w:top w:val="none" w:sz="0" w:space="0" w:color="auto"/>
        <w:left w:val="none" w:sz="0" w:space="0" w:color="auto"/>
        <w:bottom w:val="none" w:sz="0" w:space="0" w:color="auto"/>
        <w:right w:val="none" w:sz="0" w:space="0" w:color="auto"/>
      </w:divBdr>
    </w:div>
    <w:div w:id="324675577">
      <w:bodyDiv w:val="1"/>
      <w:marLeft w:val="0"/>
      <w:marRight w:val="0"/>
      <w:marTop w:val="0"/>
      <w:marBottom w:val="0"/>
      <w:divBdr>
        <w:top w:val="none" w:sz="0" w:space="0" w:color="auto"/>
        <w:left w:val="none" w:sz="0" w:space="0" w:color="auto"/>
        <w:bottom w:val="none" w:sz="0" w:space="0" w:color="auto"/>
        <w:right w:val="none" w:sz="0" w:space="0" w:color="auto"/>
      </w:divBdr>
    </w:div>
    <w:div w:id="394009819">
      <w:bodyDiv w:val="1"/>
      <w:marLeft w:val="0"/>
      <w:marRight w:val="0"/>
      <w:marTop w:val="0"/>
      <w:marBottom w:val="0"/>
      <w:divBdr>
        <w:top w:val="none" w:sz="0" w:space="0" w:color="auto"/>
        <w:left w:val="none" w:sz="0" w:space="0" w:color="auto"/>
        <w:bottom w:val="none" w:sz="0" w:space="0" w:color="auto"/>
        <w:right w:val="none" w:sz="0" w:space="0" w:color="auto"/>
      </w:divBdr>
    </w:div>
    <w:div w:id="450326140">
      <w:bodyDiv w:val="1"/>
      <w:marLeft w:val="0"/>
      <w:marRight w:val="0"/>
      <w:marTop w:val="0"/>
      <w:marBottom w:val="0"/>
      <w:divBdr>
        <w:top w:val="none" w:sz="0" w:space="0" w:color="auto"/>
        <w:left w:val="none" w:sz="0" w:space="0" w:color="auto"/>
        <w:bottom w:val="none" w:sz="0" w:space="0" w:color="auto"/>
        <w:right w:val="none" w:sz="0" w:space="0" w:color="auto"/>
      </w:divBdr>
    </w:div>
    <w:div w:id="613513817">
      <w:bodyDiv w:val="1"/>
      <w:marLeft w:val="0"/>
      <w:marRight w:val="0"/>
      <w:marTop w:val="0"/>
      <w:marBottom w:val="0"/>
      <w:divBdr>
        <w:top w:val="none" w:sz="0" w:space="0" w:color="auto"/>
        <w:left w:val="none" w:sz="0" w:space="0" w:color="auto"/>
        <w:bottom w:val="none" w:sz="0" w:space="0" w:color="auto"/>
        <w:right w:val="none" w:sz="0" w:space="0" w:color="auto"/>
      </w:divBdr>
    </w:div>
    <w:div w:id="957176227">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40475630">
      <w:bodyDiv w:val="1"/>
      <w:marLeft w:val="0"/>
      <w:marRight w:val="0"/>
      <w:marTop w:val="0"/>
      <w:marBottom w:val="0"/>
      <w:divBdr>
        <w:top w:val="none" w:sz="0" w:space="0" w:color="auto"/>
        <w:left w:val="none" w:sz="0" w:space="0" w:color="auto"/>
        <w:bottom w:val="none" w:sz="0" w:space="0" w:color="auto"/>
        <w:right w:val="none" w:sz="0" w:space="0" w:color="auto"/>
      </w:divBdr>
    </w:div>
    <w:div w:id="1253900374">
      <w:bodyDiv w:val="1"/>
      <w:marLeft w:val="0"/>
      <w:marRight w:val="0"/>
      <w:marTop w:val="0"/>
      <w:marBottom w:val="0"/>
      <w:divBdr>
        <w:top w:val="none" w:sz="0" w:space="0" w:color="auto"/>
        <w:left w:val="none" w:sz="0" w:space="0" w:color="auto"/>
        <w:bottom w:val="none" w:sz="0" w:space="0" w:color="auto"/>
        <w:right w:val="none" w:sz="0" w:space="0" w:color="auto"/>
      </w:divBdr>
    </w:div>
    <w:div w:id="1370841039">
      <w:bodyDiv w:val="1"/>
      <w:marLeft w:val="0"/>
      <w:marRight w:val="0"/>
      <w:marTop w:val="0"/>
      <w:marBottom w:val="0"/>
      <w:divBdr>
        <w:top w:val="none" w:sz="0" w:space="0" w:color="auto"/>
        <w:left w:val="none" w:sz="0" w:space="0" w:color="auto"/>
        <w:bottom w:val="none" w:sz="0" w:space="0" w:color="auto"/>
        <w:right w:val="none" w:sz="0" w:space="0" w:color="auto"/>
      </w:divBdr>
    </w:div>
    <w:div w:id="1716929583">
      <w:bodyDiv w:val="1"/>
      <w:marLeft w:val="0"/>
      <w:marRight w:val="0"/>
      <w:marTop w:val="0"/>
      <w:marBottom w:val="0"/>
      <w:divBdr>
        <w:top w:val="none" w:sz="0" w:space="0" w:color="auto"/>
        <w:left w:val="none" w:sz="0" w:space="0" w:color="auto"/>
        <w:bottom w:val="none" w:sz="0" w:space="0" w:color="auto"/>
        <w:right w:val="none" w:sz="0" w:space="0" w:color="auto"/>
      </w:divBdr>
    </w:div>
    <w:div w:id="1803576084">
      <w:bodyDiv w:val="1"/>
      <w:marLeft w:val="0"/>
      <w:marRight w:val="0"/>
      <w:marTop w:val="0"/>
      <w:marBottom w:val="0"/>
      <w:divBdr>
        <w:top w:val="none" w:sz="0" w:space="0" w:color="auto"/>
        <w:left w:val="none" w:sz="0" w:space="0" w:color="auto"/>
        <w:bottom w:val="none" w:sz="0" w:space="0" w:color="auto"/>
        <w:right w:val="none" w:sz="0" w:space="0" w:color="auto"/>
      </w:divBdr>
    </w:div>
    <w:div w:id="19666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gov/Building/Applic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tiawan%20Ganda\My%20Documents\Energy\2005%20Res%20Energy%20Cor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Res Energy Corr</Template>
  <TotalTime>521</TotalTime>
  <Pages>7</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BUILDING</vt:lpstr>
    </vt:vector>
  </TitlesOfParts>
  <Company/>
  <LinksUpToDate>false</LinksUpToDate>
  <CharactersWithSpaces>23086</CharactersWithSpaces>
  <SharedDoc>false</SharedDoc>
  <HLinks>
    <vt:vector size="6" baseType="variant">
      <vt:variant>
        <vt:i4>6815871</vt:i4>
      </vt:variant>
      <vt:variant>
        <vt:i4>3</vt:i4>
      </vt:variant>
      <vt:variant>
        <vt:i4>0</vt:i4>
      </vt:variant>
      <vt:variant>
        <vt:i4>5</vt:i4>
      </vt:variant>
      <vt:variant>
        <vt:lpwstr>http://earthquake.usgs.gov/research/hazmaps/design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dc:title>
  <dc:subject/>
  <dc:creator>Setiawan Ganda</dc:creator>
  <cp:keywords/>
  <dc:description/>
  <cp:lastModifiedBy>SETIAWAN GANDA</cp:lastModifiedBy>
  <cp:revision>174</cp:revision>
  <cp:lastPrinted>2016-10-28T17:51:00Z</cp:lastPrinted>
  <dcterms:created xsi:type="dcterms:W3CDTF">2018-05-07T02:57:00Z</dcterms:created>
  <dcterms:modified xsi:type="dcterms:W3CDTF">2024-04-07T23:43:00Z</dcterms:modified>
</cp:coreProperties>
</file>